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b w:val="0"/>
          <w:bCs w:val="0"/>
          <w:sz w:val="44"/>
          <w:szCs w:val="44"/>
          <w:lang w:eastAsia="zh-CN"/>
        </w:rPr>
      </w:pPr>
    </w:p>
    <w:p>
      <w:pPr>
        <w:spacing w:line="590" w:lineRule="exact"/>
        <w:jc w:val="center"/>
        <w:rPr>
          <w:rFonts w:hint="eastAsia" w:ascii="Times New Roman" w:hAnsi="Times New Roman" w:eastAsia="方正小标宋_GBK"/>
          <w:b w:val="0"/>
          <w:bCs w:val="0"/>
          <w:snapToGrid w:val="0"/>
          <w:sz w:val="44"/>
          <w:szCs w:val="44"/>
          <w:lang w:eastAsia="zh-CN"/>
        </w:rPr>
      </w:pPr>
      <w:r>
        <w:rPr>
          <w:rFonts w:hint="eastAsia" w:ascii="Times New Roman" w:hAnsi="Times New Roman" w:eastAsia="方正小标宋_GBK"/>
          <w:b w:val="0"/>
          <w:bCs w:val="0"/>
          <w:snapToGrid w:val="0"/>
          <w:sz w:val="44"/>
          <w:szCs w:val="44"/>
        </w:rPr>
        <w:t>关于</w:t>
      </w:r>
      <w:r>
        <w:rPr>
          <w:rFonts w:hint="eastAsia" w:eastAsia="方正小标宋_GBK"/>
          <w:b w:val="0"/>
          <w:bCs w:val="0"/>
          <w:snapToGrid w:val="0"/>
          <w:sz w:val="44"/>
          <w:szCs w:val="44"/>
          <w:lang w:eastAsia="zh-CN"/>
        </w:rPr>
        <w:t>征求《</w:t>
      </w:r>
      <w:r>
        <w:rPr>
          <w:rFonts w:hint="eastAsia" w:ascii="Times New Roman" w:hAnsi="Times New Roman" w:eastAsia="方正小标宋_GBK"/>
          <w:b w:val="0"/>
          <w:bCs w:val="0"/>
          <w:snapToGrid w:val="0"/>
          <w:sz w:val="44"/>
          <w:szCs w:val="44"/>
          <w:lang w:eastAsia="zh-CN"/>
        </w:rPr>
        <w:t>淮北市</w:t>
      </w:r>
      <w:r>
        <w:rPr>
          <w:rFonts w:hint="eastAsia" w:ascii="Times New Roman" w:hAnsi="Times New Roman" w:eastAsia="方正小标宋_GBK"/>
          <w:b w:val="0"/>
          <w:bCs w:val="0"/>
          <w:snapToGrid w:val="0"/>
          <w:sz w:val="44"/>
          <w:szCs w:val="44"/>
        </w:rPr>
        <w:t>空气质量持续改善行动方案</w:t>
      </w:r>
      <w:r>
        <w:rPr>
          <w:rFonts w:hint="eastAsia" w:eastAsia="方正小标宋_GBK"/>
          <w:b w:val="0"/>
          <w:bCs w:val="0"/>
          <w:snapToGrid w:val="0"/>
          <w:sz w:val="44"/>
          <w:szCs w:val="44"/>
          <w:lang w:eastAsia="zh-CN"/>
        </w:rPr>
        <w:t>（征求意见稿）》意见</w:t>
      </w:r>
      <w:r>
        <w:rPr>
          <w:rFonts w:hint="eastAsia" w:ascii="Times New Roman" w:hAnsi="Times New Roman" w:eastAsia="方正小标宋_GBK"/>
          <w:b w:val="0"/>
          <w:bCs w:val="0"/>
          <w:snapToGrid w:val="0"/>
          <w:sz w:val="44"/>
          <w:szCs w:val="44"/>
        </w:rPr>
        <w:t>的</w:t>
      </w:r>
      <w:r>
        <w:rPr>
          <w:rFonts w:hint="eastAsia" w:eastAsia="方正小标宋_GBK"/>
          <w:b w:val="0"/>
          <w:bCs w:val="0"/>
          <w:snapToGrid w:val="0"/>
          <w:sz w:val="44"/>
          <w:szCs w:val="44"/>
          <w:lang w:eastAsia="zh-CN"/>
        </w:rPr>
        <w:t>公告</w:t>
      </w:r>
    </w:p>
    <w:p>
      <w:pPr>
        <w:spacing w:line="590" w:lineRule="exact"/>
        <w:rPr>
          <w:rFonts w:hint="eastAsia" w:ascii="Times New Roman" w:hAnsi="Times New Roman" w:eastAsia="方正仿宋_GBK"/>
          <w:b w:val="0"/>
          <w:bCs w:val="0"/>
          <w:sz w:val="32"/>
          <w:szCs w:val="32"/>
        </w:rPr>
      </w:pPr>
    </w:p>
    <w:p>
      <w:pPr>
        <w:spacing w:line="590" w:lineRule="exact"/>
        <w:ind w:firstLine="640" w:firstLineChars="200"/>
        <w:rPr>
          <w:rFonts w:hint="eastAsia" w:eastAsia="仿宋_GB2312" w:cs="仿宋_GB2312"/>
          <w:b w:val="0"/>
          <w:bCs w:val="0"/>
          <w:snapToGrid w:val="0"/>
          <w:sz w:val="32"/>
          <w:szCs w:val="32"/>
          <w:lang w:eastAsia="zh-CN"/>
        </w:rPr>
      </w:pPr>
      <w:r>
        <w:rPr>
          <w:rFonts w:hint="eastAsia" w:eastAsia="仿宋_GB2312" w:cs="仿宋_GB2312"/>
          <w:b w:val="0"/>
          <w:bCs w:val="0"/>
          <w:snapToGrid w:val="0"/>
          <w:sz w:val="32"/>
          <w:szCs w:val="32"/>
          <w:lang w:eastAsia="zh-CN"/>
        </w:rPr>
        <w:t>根据《国务院空气质量持续改善行动计划》《安徽省空气质量持续改善行动方案》，市环委办起草了《淮北市空气质量持续改善行动方案（征求意见稿）》，现公开征求意见，征求意见截止时间为2024年9月1</w:t>
      </w:r>
      <w:r>
        <w:rPr>
          <w:rFonts w:hint="eastAsia" w:eastAsia="仿宋_GB2312" w:cs="仿宋_GB2312"/>
          <w:b w:val="0"/>
          <w:bCs w:val="0"/>
          <w:snapToGrid w:val="0"/>
          <w:sz w:val="32"/>
          <w:szCs w:val="32"/>
          <w:lang w:val="en-US" w:eastAsia="zh-CN"/>
        </w:rPr>
        <w:t>4</w:t>
      </w:r>
      <w:r>
        <w:rPr>
          <w:rFonts w:hint="eastAsia" w:eastAsia="仿宋_GB2312" w:cs="仿宋_GB2312"/>
          <w:b w:val="0"/>
          <w:bCs w:val="0"/>
          <w:snapToGrid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联系电话：市生态环境局大气科 0561-3031715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电子邮箱：</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begin"/>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instrText xml:space="preserve"> HYPERLINK "mailto:hbsdqb2014@163.com" </w:instrTex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separate"/>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hbsdqb2014@163.com</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邮寄地址：淮北市相山区淮海中路135号淮北市生态环境局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0"/>
        <w:rPr>
          <w:rFonts w:hint="default"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2024年8月</w:t>
      </w:r>
      <w:r>
        <w:rPr>
          <w:rFonts w:hint="eastAsia" w:eastAsia="仿宋_GB2312" w:cs="仿宋_GB2312"/>
          <w:b w:val="0"/>
          <w:bCs w:val="0"/>
          <w:i w:val="0"/>
          <w:iCs w:val="0"/>
          <w:caps w:val="0"/>
          <w:color w:val="auto"/>
          <w:spacing w:val="0"/>
          <w:sz w:val="32"/>
          <w:szCs w:val="32"/>
          <w:highlight w:val="none"/>
          <w:shd w:val="clear" w:color="auto" w:fill="auto"/>
          <w:lang w:val="en-US" w:eastAsia="zh-CN"/>
        </w:rPr>
        <w:t>14</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日</w:t>
      </w:r>
    </w:p>
    <w:p>
      <w:pPr>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淮北市</w:t>
      </w:r>
      <w:r>
        <w:rPr>
          <w:rFonts w:hint="default" w:ascii="Times New Roman" w:hAnsi="Times New Roman" w:eastAsia="方正小标宋_GBK" w:cs="Times New Roman"/>
          <w:b w:val="0"/>
          <w:bCs w:val="0"/>
          <w:color w:val="auto"/>
          <w:sz w:val="44"/>
          <w:szCs w:val="44"/>
          <w:highlight w:val="none"/>
        </w:rPr>
        <w:t>空气质量</w:t>
      </w:r>
      <w:r>
        <w:rPr>
          <w:rFonts w:hint="eastAsia" w:ascii="Times New Roman" w:hAnsi="Times New Roman" w:eastAsia="方正小标宋_GBK" w:cs="Times New Roman"/>
          <w:b w:val="0"/>
          <w:bCs w:val="0"/>
          <w:color w:val="auto"/>
          <w:sz w:val="44"/>
          <w:szCs w:val="44"/>
          <w:highlight w:val="none"/>
          <w:lang w:val="en-US" w:eastAsia="zh-CN"/>
        </w:rPr>
        <w:t>持续改善</w:t>
      </w:r>
      <w:r>
        <w:rPr>
          <w:rFonts w:hint="default" w:ascii="Times New Roman" w:hAnsi="Times New Roman" w:eastAsia="方正小标宋_GBK" w:cs="Times New Roman"/>
          <w:b w:val="0"/>
          <w:bCs w:val="0"/>
          <w:color w:val="auto"/>
          <w:sz w:val="44"/>
          <w:szCs w:val="44"/>
          <w:highlight w:val="none"/>
        </w:rPr>
        <w:t>行动方案</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_GBK"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Hans"/>
        </w:rPr>
        <w:t>为持续深入打好蓝天保卫战，协同推进降碳、减污、扩绿、增长，保障人民群众身体健康，以空气质量持续改善推动经济高质量发展</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Hans"/>
        </w:rPr>
        <w:t>根据国务院《空气质量持续改善行动计划》</w:t>
      </w:r>
      <w:r>
        <w:rPr>
          <w:rFonts w:hint="eastAsia" w:ascii="Times New Roman" w:hAnsi="Times New Roman" w:eastAsia="仿宋_GB2312" w:cs="仿宋_GB2312"/>
          <w:b w:val="0"/>
          <w:bCs w:val="0"/>
          <w:color w:val="auto"/>
          <w:sz w:val="32"/>
          <w:szCs w:val="32"/>
          <w:highlight w:val="none"/>
          <w:lang w:val="en-US" w:eastAsia="zh-CN"/>
        </w:rPr>
        <w:t>和</w:t>
      </w:r>
      <w:r>
        <w:rPr>
          <w:rFonts w:hint="eastAsia" w:ascii="Times New Roman" w:hAnsi="Times New Roman" w:eastAsia="仿宋_GB2312" w:cs="仿宋_GB2312"/>
          <w:b w:val="0"/>
          <w:bCs w:val="0"/>
          <w:color w:val="auto"/>
          <w:sz w:val="32"/>
          <w:szCs w:val="32"/>
          <w:highlight w:val="none"/>
          <w:lang w:val="en-US" w:eastAsia="zh-Hans"/>
        </w:rPr>
        <w:t>省政府</w:t>
      </w:r>
      <w:r>
        <w:rPr>
          <w:rFonts w:hint="eastAsia" w:ascii="Times New Roman" w:hAnsi="Times New Roman" w:eastAsia="仿宋_GB2312" w:cs="仿宋_GB2312"/>
          <w:b w:val="0"/>
          <w:bCs w:val="0"/>
          <w:color w:val="auto"/>
          <w:sz w:val="32"/>
          <w:szCs w:val="32"/>
          <w:highlight w:val="none"/>
          <w:lang w:eastAsia="zh-CN"/>
        </w:rPr>
        <w:t>《安徽省空气质量持续改善行动方案》要求，结合我市实际，制定淮北市空气质量</w:t>
      </w:r>
      <w:r>
        <w:rPr>
          <w:rFonts w:hint="eastAsia" w:ascii="Times New Roman" w:hAnsi="Times New Roman" w:eastAsia="仿宋_GB2312" w:cs="仿宋_GB2312"/>
          <w:b w:val="0"/>
          <w:bCs w:val="0"/>
          <w:color w:val="auto"/>
          <w:sz w:val="32"/>
          <w:szCs w:val="32"/>
          <w:highlight w:val="none"/>
          <w:lang w:val="en-US" w:eastAsia="zh-CN"/>
        </w:rPr>
        <w:t>持续改善</w:t>
      </w:r>
      <w:r>
        <w:rPr>
          <w:rFonts w:hint="eastAsia" w:ascii="Times New Roman" w:hAnsi="Times New Roman" w:eastAsia="仿宋_GB2312" w:cs="仿宋_GB2312"/>
          <w:b w:val="0"/>
          <w:bCs w:val="0"/>
          <w:color w:val="auto"/>
          <w:sz w:val="32"/>
          <w:szCs w:val="32"/>
          <w:highlight w:val="none"/>
          <w:lang w:eastAsia="zh-CN"/>
        </w:rPr>
        <w:t>行动方案。</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rPr>
          <w:rFonts w:hint="eastAsia" w:ascii="Times New Roman" w:hAnsi="Times New Roman" w:eastAsia="仿宋_GB2312" w:cs="仿宋_GB2312"/>
          <w:b w:val="0"/>
          <w:bCs w:val="0"/>
          <w:color w:val="auto"/>
          <w:sz w:val="32"/>
          <w:szCs w:val="32"/>
          <w:highlight w:val="none"/>
          <w:lang w:val="en-US" w:eastAsia="zh-Hans"/>
        </w:rPr>
      </w:pPr>
      <w:r>
        <w:rPr>
          <w:rFonts w:hint="eastAsia" w:ascii="Times New Roman" w:hAnsi="Times New Roman" w:eastAsia="楷体_GB2312" w:cs="楷体_GB2312"/>
          <w:b/>
          <w:bCs/>
          <w:color w:val="auto"/>
          <w:sz w:val="32"/>
          <w:szCs w:val="32"/>
          <w:highlight w:val="none"/>
          <w:lang w:val="en-US" w:eastAsia="zh-CN"/>
        </w:rPr>
        <w:t>（一）指导思想。</w:t>
      </w:r>
      <w:r>
        <w:rPr>
          <w:rFonts w:hint="eastAsia" w:ascii="Times New Roman" w:hAnsi="Times New Roman" w:eastAsia="仿宋_GB2312" w:cs="仿宋_GB2312"/>
          <w:b w:val="0"/>
          <w:bCs w:val="0"/>
          <w:color w:val="auto"/>
          <w:sz w:val="32"/>
          <w:szCs w:val="32"/>
          <w:highlight w:val="none"/>
          <w:lang w:val="en-US" w:eastAsia="zh-Hans"/>
        </w:rPr>
        <w:t>以习近平新时代中国特色社会主义思想为指导，全面贯彻党的二十大精神，深入贯彻习近平生态文明思想，</w:t>
      </w:r>
      <w:r>
        <w:rPr>
          <w:rFonts w:hint="eastAsia" w:ascii="Times New Roman" w:hAnsi="Times New Roman" w:eastAsia="仿宋_GB2312" w:cs="仿宋_GB2312"/>
          <w:b w:val="0"/>
          <w:bCs w:val="0"/>
          <w:color w:val="auto"/>
          <w:sz w:val="32"/>
          <w:szCs w:val="32"/>
          <w:highlight w:val="none"/>
          <w:lang w:val="en-US" w:eastAsia="zh-CN"/>
        </w:rPr>
        <w:t>以改善空气质量为核心，以减少重污染天气和解决人民群众身边的突出大气环境问题为重点，</w:t>
      </w:r>
      <w:r>
        <w:rPr>
          <w:rFonts w:hint="eastAsia" w:ascii="Times New Roman" w:hAnsi="Times New Roman" w:eastAsia="仿宋_GB2312" w:cs="仿宋_GB2312"/>
          <w:b w:val="0"/>
          <w:bCs w:val="0"/>
          <w:color w:val="auto"/>
          <w:sz w:val="32"/>
          <w:szCs w:val="32"/>
          <w:highlight w:val="none"/>
          <w:lang w:val="en-US" w:eastAsia="zh-Hans"/>
        </w:rPr>
        <w:t>以降低细颗粒物（PM</w:t>
      </w:r>
      <w:r>
        <w:rPr>
          <w:rFonts w:hint="eastAsia" w:ascii="Times New Roman" w:hAnsi="Times New Roman" w:eastAsia="仿宋_GB2312" w:cs="仿宋_GB2312"/>
          <w:b w:val="0"/>
          <w:bCs w:val="0"/>
          <w:color w:val="auto"/>
          <w:sz w:val="32"/>
          <w:szCs w:val="32"/>
          <w:highlight w:val="none"/>
          <w:vertAlign w:val="subscript"/>
          <w:lang w:val="en-US" w:eastAsia="zh-Hans"/>
        </w:rPr>
        <w:t>2.5</w:t>
      </w:r>
      <w:r>
        <w:rPr>
          <w:rFonts w:hint="eastAsia" w:ascii="Times New Roman" w:hAnsi="Times New Roman" w:eastAsia="仿宋_GB2312" w:cs="仿宋_GB2312"/>
          <w:b w:val="0"/>
          <w:bCs w:val="0"/>
          <w:color w:val="auto"/>
          <w:sz w:val="32"/>
          <w:szCs w:val="32"/>
          <w:highlight w:val="none"/>
          <w:lang w:val="en-US" w:eastAsia="zh-Hans"/>
        </w:rPr>
        <w:t>）浓度为主线，</w:t>
      </w:r>
      <w:r>
        <w:rPr>
          <w:rFonts w:hint="eastAsia" w:ascii="Times New Roman" w:hAnsi="Times New Roman" w:eastAsia="仿宋_GB2312" w:cs="仿宋_GB2312"/>
          <w:b w:val="0"/>
          <w:bCs w:val="0"/>
          <w:color w:val="auto"/>
          <w:sz w:val="32"/>
          <w:szCs w:val="32"/>
          <w:highlight w:val="none"/>
          <w:lang w:val="en-US" w:eastAsia="zh-CN"/>
        </w:rPr>
        <w:t>坚持</w:t>
      </w:r>
      <w:r>
        <w:rPr>
          <w:rFonts w:hint="eastAsia" w:ascii="Times New Roman" w:hAnsi="Times New Roman" w:eastAsia="仿宋_GB2312" w:cs="仿宋_GB2312"/>
          <w:b w:val="0"/>
          <w:bCs w:val="0"/>
          <w:color w:val="auto"/>
          <w:sz w:val="32"/>
          <w:szCs w:val="32"/>
          <w:highlight w:val="none"/>
          <w:lang w:val="en-US" w:eastAsia="zh-Hans"/>
        </w:rPr>
        <w:t>精准、科学、依法治污，完善大气环境管理体系，提升污染防治能力；扎实推进产业、能源、交通绿色低碳转型，强化面源污染治理，加强源头防控，实现环境效益、经济效益和社会效益多赢。</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Hans"/>
        </w:rPr>
      </w:pPr>
      <w:r>
        <w:rPr>
          <w:rFonts w:hint="eastAsia" w:ascii="Times New Roman" w:hAnsi="Times New Roman" w:eastAsia="楷体_GB2312" w:cs="楷体_GB2312"/>
          <w:b/>
          <w:bCs/>
          <w:color w:val="auto"/>
          <w:sz w:val="32"/>
          <w:szCs w:val="32"/>
          <w:highlight w:val="none"/>
          <w:lang w:val="en-US" w:eastAsia="zh-CN"/>
        </w:rPr>
        <w:t>（二）目标任务。</w:t>
      </w:r>
      <w:r>
        <w:rPr>
          <w:rFonts w:hint="eastAsia" w:ascii="Times New Roman" w:hAnsi="Times New Roman" w:eastAsia="仿宋_GB2312" w:cs="仿宋_GB2312"/>
          <w:b w:val="0"/>
          <w:bCs w:val="0"/>
          <w:color w:val="auto"/>
          <w:sz w:val="32"/>
          <w:szCs w:val="32"/>
          <w:highlight w:val="none"/>
          <w:lang w:val="en-US" w:eastAsia="zh-CN"/>
        </w:rPr>
        <w:t>我市属于大气污染防治重点区域，在确保完成“十四五”期间空气质量既定约束性目标的基础上，要力争进一步改善。到2025年</w:t>
      </w:r>
      <w:r>
        <w:rPr>
          <w:rFonts w:hint="eastAsia" w:ascii="Times New Roman" w:hAnsi="Times New Roman" w:eastAsia="仿宋_GB2312" w:cs="仿宋_GB2312"/>
          <w:b w:val="0"/>
          <w:bCs w:val="0"/>
          <w:color w:val="auto"/>
          <w:sz w:val="32"/>
          <w:szCs w:val="32"/>
          <w:highlight w:val="none"/>
          <w:lang w:val="en-US" w:eastAsia="zh-Hans"/>
        </w:rPr>
        <w:t>细颗粒物（PM</w:t>
      </w:r>
      <w:r>
        <w:rPr>
          <w:rFonts w:hint="eastAsia" w:ascii="Times New Roman" w:hAnsi="Times New Roman" w:eastAsia="仿宋_GB2312" w:cs="仿宋_GB2312"/>
          <w:b w:val="0"/>
          <w:bCs w:val="0"/>
          <w:color w:val="auto"/>
          <w:sz w:val="32"/>
          <w:szCs w:val="32"/>
          <w:highlight w:val="none"/>
          <w:vertAlign w:val="subscript"/>
          <w:lang w:val="en-US" w:eastAsia="zh-Hans"/>
        </w:rPr>
        <w:t>2.5</w:t>
      </w:r>
      <w:r>
        <w:rPr>
          <w:rFonts w:hint="eastAsia" w:ascii="Times New Roman" w:hAnsi="Times New Roman" w:eastAsia="仿宋_GB2312" w:cs="仿宋_GB2312"/>
          <w:b w:val="0"/>
          <w:bCs w:val="0"/>
          <w:color w:val="auto"/>
          <w:sz w:val="32"/>
          <w:szCs w:val="32"/>
          <w:highlight w:val="none"/>
          <w:lang w:val="en-US" w:eastAsia="zh-Hans"/>
        </w:rPr>
        <w:t>）</w:t>
      </w:r>
      <w:r>
        <w:rPr>
          <w:rFonts w:hint="eastAsia" w:ascii="Times New Roman" w:hAnsi="Times New Roman" w:eastAsia="仿宋_GB2312" w:cs="仿宋_GB2312"/>
          <w:b w:val="0"/>
          <w:bCs w:val="0"/>
          <w:color w:val="auto"/>
          <w:sz w:val="32"/>
          <w:szCs w:val="32"/>
          <w:highlight w:val="none"/>
          <w:lang w:val="en-US" w:eastAsia="zh-CN"/>
        </w:rPr>
        <w:t>平均</w:t>
      </w:r>
      <w:r>
        <w:rPr>
          <w:rFonts w:hint="eastAsia" w:ascii="Times New Roman" w:hAnsi="Times New Roman" w:eastAsia="仿宋_GB2312" w:cs="仿宋_GB2312"/>
          <w:b w:val="0"/>
          <w:bCs w:val="0"/>
          <w:color w:val="auto"/>
          <w:sz w:val="32"/>
          <w:szCs w:val="32"/>
          <w:highlight w:val="none"/>
          <w:lang w:val="en-US" w:eastAsia="zh-Hans"/>
        </w:rPr>
        <w:t>浓度</w:t>
      </w:r>
      <w:r>
        <w:rPr>
          <w:rFonts w:hint="eastAsia" w:ascii="Times New Roman" w:hAnsi="Times New Roman" w:eastAsia="仿宋_GB2312" w:cs="仿宋_GB2312"/>
          <w:b w:val="0"/>
          <w:bCs w:val="0"/>
          <w:color w:val="auto"/>
          <w:sz w:val="32"/>
          <w:szCs w:val="32"/>
          <w:highlight w:val="none"/>
          <w:lang w:val="en-US" w:eastAsia="zh-CN"/>
        </w:rPr>
        <w:t>控制在39微克/立方米以下，力争控制在38微克/立方米以下，重度及以上污染天数基本消除。全市“</w:t>
      </w:r>
      <w:r>
        <w:rPr>
          <w:rFonts w:hint="eastAsia" w:ascii="Times New Roman" w:hAnsi="Times New Roman" w:eastAsia="仿宋_GB2312" w:cs="仿宋_GB2312"/>
          <w:b w:val="0"/>
          <w:bCs w:val="0"/>
          <w:color w:val="auto"/>
          <w:sz w:val="32"/>
          <w:szCs w:val="32"/>
          <w:highlight w:val="none"/>
          <w:lang w:val="en-US" w:eastAsia="zh-Hans"/>
        </w:rPr>
        <w:t>十四五</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Hans"/>
        </w:rPr>
        <w:t>期间氮氧化物、挥发性有机物（VOCs）重点工程排放总量比2020年分别减排</w:t>
      </w:r>
      <w:r>
        <w:rPr>
          <w:rFonts w:hint="eastAsia" w:ascii="Times New Roman" w:hAnsi="Times New Roman" w:eastAsia="仿宋_GB2312" w:cs="仿宋_GB2312"/>
          <w:b w:val="0"/>
          <w:bCs w:val="0"/>
          <w:color w:val="auto"/>
          <w:sz w:val="32"/>
          <w:szCs w:val="32"/>
          <w:highlight w:val="none"/>
          <w:lang w:val="en-US" w:eastAsia="zh-CN"/>
        </w:rPr>
        <w:t>5885</w:t>
      </w:r>
      <w:r>
        <w:rPr>
          <w:rFonts w:hint="eastAsia" w:ascii="Times New Roman" w:hAnsi="Times New Roman" w:eastAsia="仿宋_GB2312" w:cs="仿宋_GB2312"/>
          <w:b w:val="0"/>
          <w:bCs w:val="0"/>
          <w:color w:val="auto"/>
          <w:sz w:val="32"/>
          <w:szCs w:val="32"/>
          <w:highlight w:val="none"/>
          <w:lang w:val="en-US" w:eastAsia="zh-Hans"/>
        </w:rPr>
        <w:t>吨、</w:t>
      </w:r>
      <w:r>
        <w:rPr>
          <w:rFonts w:hint="eastAsia" w:ascii="Times New Roman" w:hAnsi="Times New Roman" w:eastAsia="仿宋_GB2312" w:cs="仿宋_GB2312"/>
          <w:b w:val="0"/>
          <w:bCs w:val="0"/>
          <w:color w:val="auto"/>
          <w:sz w:val="32"/>
          <w:szCs w:val="32"/>
          <w:highlight w:val="none"/>
          <w:lang w:val="en-US" w:eastAsia="zh-CN"/>
        </w:rPr>
        <w:t>1578</w:t>
      </w:r>
      <w:r>
        <w:rPr>
          <w:rFonts w:hint="eastAsia" w:ascii="Times New Roman" w:hAnsi="Times New Roman" w:eastAsia="仿宋_GB2312" w:cs="仿宋_GB2312"/>
          <w:b w:val="0"/>
          <w:bCs w:val="0"/>
          <w:color w:val="auto"/>
          <w:sz w:val="32"/>
          <w:szCs w:val="32"/>
          <w:highlight w:val="none"/>
          <w:lang w:val="en-US" w:eastAsia="zh-Hans"/>
        </w:rPr>
        <w:t>吨。</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0" w:leftChars="0" w:firstLine="640"/>
        <w:textAlignment w:val="auto"/>
        <w:outlineLvl w:val="1"/>
        <w:rPr>
          <w:rFonts w:hint="eastAsia" w:ascii="Times New Roman" w:hAnsi="Times New Roman" w:eastAsia="黑体" w:cs="黑体"/>
          <w:b w:val="0"/>
          <w:bCs w:val="0"/>
          <w:color w:val="auto"/>
          <w:kern w:val="2"/>
          <w:sz w:val="32"/>
          <w:szCs w:val="32"/>
          <w:highlight w:val="none"/>
          <w:lang w:val="en-US" w:eastAsia="zh-CN" w:bidi="ar"/>
        </w:rPr>
      </w:pPr>
      <w:r>
        <w:rPr>
          <w:rFonts w:hint="eastAsia" w:ascii="Times New Roman" w:hAnsi="Times New Roman" w:eastAsia="黑体" w:cs="黑体"/>
          <w:b w:val="0"/>
          <w:bCs w:val="0"/>
          <w:color w:val="auto"/>
          <w:kern w:val="2"/>
          <w:sz w:val="32"/>
          <w:szCs w:val="32"/>
          <w:highlight w:val="none"/>
          <w:lang w:val="en-US" w:eastAsia="zh-CN" w:bidi="ar-SA"/>
        </w:rPr>
        <w:t>二、</w:t>
      </w:r>
      <w:r>
        <w:rPr>
          <w:rFonts w:hint="eastAsia" w:ascii="Times New Roman" w:hAnsi="Times New Roman" w:eastAsia="黑体" w:cs="黑体"/>
          <w:b w:val="0"/>
          <w:bCs w:val="0"/>
          <w:color w:val="auto"/>
          <w:sz w:val="32"/>
          <w:szCs w:val="32"/>
          <w:highlight w:val="none"/>
          <w:lang w:val="en-US" w:eastAsia="zh-CN"/>
        </w:rPr>
        <w:t>优化调整产业结构布局</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（三）坚决遏制高耗能、高排放、低水平项目盲目上马。</w:t>
      </w:r>
      <w:r>
        <w:rPr>
          <w:rFonts w:hint="eastAsia" w:ascii="Times New Roman" w:hAnsi="Times New Roman" w:eastAsia="仿宋_GB2312" w:cs="仿宋_GB2312"/>
          <w:b w:val="0"/>
          <w:bCs w:val="0"/>
          <w:color w:val="auto"/>
          <w:sz w:val="32"/>
          <w:szCs w:val="32"/>
          <w:highlight w:val="none"/>
        </w:rPr>
        <w:t>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w:t>
      </w:r>
      <w:r>
        <w:rPr>
          <w:rFonts w:hint="eastAsia" w:eastAsia="仿宋_GB2312" w:cs="仿宋_GB2312"/>
          <w:b w:val="0"/>
          <w:bCs w:val="0"/>
          <w:color w:val="auto"/>
          <w:sz w:val="32"/>
          <w:szCs w:val="32"/>
          <w:highlight w:val="none"/>
          <w:lang w:eastAsia="zh-CN"/>
        </w:rPr>
        <w:t>淮北市</w:t>
      </w:r>
      <w:r>
        <w:rPr>
          <w:rFonts w:hint="eastAsia" w:ascii="Times New Roman" w:hAnsi="Times New Roman" w:eastAsia="仿宋_GB2312" w:cs="仿宋_GB2312"/>
          <w:b w:val="0"/>
          <w:bCs w:val="0"/>
          <w:color w:val="auto"/>
          <w:sz w:val="32"/>
          <w:szCs w:val="32"/>
          <w:highlight w:val="none"/>
        </w:rPr>
        <w:t>加强生态环境分区管控方案。严格落实产能置换要求，</w:t>
      </w:r>
      <w:r>
        <w:rPr>
          <w:rFonts w:hint="eastAsia" w:ascii="Times New Roman" w:hAnsi="Times New Roman" w:eastAsia="仿宋_GB2312" w:cs="仿宋_GB2312"/>
          <w:b w:val="0"/>
          <w:bCs w:val="0"/>
          <w:color w:val="auto"/>
          <w:sz w:val="32"/>
          <w:szCs w:val="32"/>
          <w:highlight w:val="none"/>
          <w:lang w:eastAsia="zh-CN"/>
        </w:rPr>
        <w:t>不得</w:t>
      </w:r>
      <w:r>
        <w:rPr>
          <w:rFonts w:hint="eastAsia" w:ascii="Times New Roman" w:hAnsi="Times New Roman" w:eastAsia="仿宋_GB2312" w:cs="仿宋_GB2312"/>
          <w:b w:val="0"/>
          <w:bCs w:val="0"/>
          <w:color w:val="auto"/>
          <w:sz w:val="32"/>
          <w:szCs w:val="32"/>
          <w:highlight w:val="none"/>
        </w:rPr>
        <w:t>核准、备案产能严重过剩行业新增产能项目，被置换产能及其配套设施关停后，新建项目方可投产。</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（四）加快退出重点行业落后产能。</w:t>
      </w:r>
      <w:r>
        <w:rPr>
          <w:rFonts w:hint="eastAsia" w:ascii="Times New Roman" w:hAnsi="Times New Roman" w:eastAsia="仿宋_GB2312" w:cs="仿宋_GB2312"/>
          <w:b w:val="0"/>
          <w:bCs w:val="0"/>
          <w:color w:val="auto"/>
          <w:sz w:val="32"/>
          <w:szCs w:val="32"/>
          <w:highlight w:val="none"/>
          <w:lang w:eastAsia="zh-CN"/>
        </w:rPr>
        <w:t>严格执行</w:t>
      </w:r>
      <w:r>
        <w:rPr>
          <w:rFonts w:hint="eastAsia" w:ascii="Times New Roman" w:hAnsi="Times New Roman" w:eastAsia="仿宋_GB2312" w:cs="仿宋_GB2312"/>
          <w:b w:val="0"/>
          <w:bCs w:val="0"/>
          <w:color w:val="auto"/>
          <w:sz w:val="32"/>
          <w:szCs w:val="32"/>
          <w:highlight w:val="none"/>
        </w:rPr>
        <w:t>《产业结构调整指导目录</w:t>
      </w:r>
      <w:r>
        <w:rPr>
          <w:rFonts w:hint="eastAsia"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2024年本</w:t>
      </w:r>
      <w:r>
        <w:rPr>
          <w:rFonts w:hint="eastAsia"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综合运用能耗、环保、质量、安全、技术等要求，依法依规推动落后产能退出，逐步退出限制类涉气行业工艺和装备。</w:t>
      </w:r>
      <w:r>
        <w:rPr>
          <w:rFonts w:hint="eastAsia" w:ascii="Times New Roman" w:hAnsi="Times New Roman" w:eastAsia="仿宋_GB2312" w:cs="仿宋_GB2312"/>
          <w:b w:val="0"/>
          <w:bCs w:val="0"/>
          <w:color w:val="auto"/>
          <w:sz w:val="32"/>
          <w:szCs w:val="32"/>
          <w:highlight w:val="none"/>
          <w:lang w:val="en-US" w:eastAsia="zh-CN"/>
        </w:rPr>
        <w:t>2024年12月底前重点排查国三及以下排放标准营运柴油货车、采用稀薄燃烧技术和“油改气”的老旧燃气车辆，每小时2蒸吨及以下生物质锅炉，炉膛直径3米以下的燃料类煤气发生炉及间歇式固定床煤气发生炉（合成氨生产除外），每小时35蒸吨及以下的燃煤锅炉，确保全面淘汰清零。逐步淘汰步进式烧结机和球团竖炉以及半封闭式硅锰合金、镍铁、高碳铬铁、高碳锰铁电炉。严禁违规新增水泥（熟料）、焦化、电解铝、平板玻璃（不含光伏压延玻璃）产能。</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（五）开展传统产业集群排查整治。</w:t>
      </w:r>
      <w:r>
        <w:rPr>
          <w:rFonts w:hint="eastAsia" w:ascii="Times New Roman" w:hAnsi="Times New Roman" w:eastAsia="仿宋_GB2312" w:cs="仿宋_GB2312"/>
          <w:b w:val="0"/>
          <w:bCs w:val="0"/>
          <w:color w:val="auto"/>
          <w:sz w:val="32"/>
          <w:szCs w:val="32"/>
          <w:highlight w:val="none"/>
          <w:lang w:val="en-US" w:eastAsia="zh-CN"/>
        </w:rPr>
        <w:t>中小型传统制造企业集中的涉气产业集群要制定发展规划，推动产业集群改造提升。开展石灰岩、陶瓷等涉气产业集群排查及分类治理，“一群一策”制定整治提升方案，实施拉单挂账式管理，依法淘汰关停一批、搬迁入园一批、就地改造一批、做优做强一批。高水平打造承接产业转移集聚区，持续加强产业集群环境治理。结合“绿岛”项目等因地制宜建设集中供热中心、集中涂装中心、有机溶剂集中回收中心、活性炭再生中心。推进重点行业强制性清洁生产审核，推动重点行业、园区开展清洁生产审核示范试点</w:t>
      </w:r>
      <w:r>
        <w:rPr>
          <w:rFonts w:hint="eastAsia" w:eastAsia="仿宋_GB2312" w:cs="仿宋_GB2312"/>
          <w:b w:val="0"/>
          <w:bCs w:val="0"/>
          <w:color w:val="auto"/>
          <w:sz w:val="32"/>
          <w:szCs w:val="32"/>
          <w:highlight w:val="none"/>
          <w:lang w:val="en-US" w:eastAsia="zh-CN"/>
        </w:rPr>
        <w:t>，重点实施石化化工、焦化、包装印刷、工业涂装等行业清洁生产改造</w:t>
      </w:r>
      <w:r>
        <w:rPr>
          <w:rFonts w:hint="eastAsia" w:ascii="Times New Roman" w:hAnsi="Times New Roman"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（六）推动新能源和节能环保等产业健康发展。</w:t>
      </w:r>
      <w:r>
        <w:rPr>
          <w:rFonts w:hint="eastAsia" w:ascii="Times New Roman" w:hAnsi="Times New Roman" w:eastAsia="仿宋_GB2312" w:cs="仿宋_GB2312"/>
          <w:b w:val="0"/>
          <w:bCs w:val="0"/>
          <w:color w:val="auto"/>
          <w:sz w:val="32"/>
          <w:szCs w:val="32"/>
          <w:highlight w:val="none"/>
        </w:rPr>
        <w:t>深化新能源和节能环保产业“双招双引”，</w:t>
      </w:r>
      <w:r>
        <w:rPr>
          <w:rFonts w:hint="eastAsia" w:eastAsia="仿宋_GB2312" w:cs="仿宋_GB2312"/>
          <w:b w:val="0"/>
          <w:bCs w:val="0"/>
          <w:color w:val="auto"/>
          <w:sz w:val="32"/>
          <w:szCs w:val="32"/>
          <w:highlight w:val="none"/>
          <w:lang w:eastAsia="zh-CN"/>
        </w:rPr>
        <w:t>加快高端储能、智慧能源等新能源产业发展，</w:t>
      </w:r>
      <w:r>
        <w:rPr>
          <w:rFonts w:hint="eastAsia" w:ascii="Times New Roman" w:hAnsi="Times New Roman" w:eastAsia="仿宋_GB2312" w:cs="仿宋_GB2312"/>
          <w:b w:val="0"/>
          <w:bCs w:val="0"/>
          <w:color w:val="auto"/>
          <w:sz w:val="32"/>
          <w:szCs w:val="32"/>
          <w:highlight w:val="none"/>
        </w:rPr>
        <w:t>在低（无）VOCs含量原辅材料生产和使用、VOCs污染治理、超低排放、环境和大气成分监测等领域支持培育</w:t>
      </w:r>
      <w:r>
        <w:rPr>
          <w:rFonts w:hint="eastAsia" w:ascii="Times New Roman" w:hAnsi="Times New Roman" w:eastAsia="仿宋_GB2312" w:cs="仿宋_GB2312"/>
          <w:b w:val="0"/>
          <w:bCs w:val="0"/>
          <w:color w:val="auto"/>
          <w:sz w:val="32"/>
          <w:szCs w:val="32"/>
          <w:highlight w:val="none"/>
          <w:lang w:eastAsia="zh-CN"/>
        </w:rPr>
        <w:t>或引进</w:t>
      </w:r>
      <w:r>
        <w:rPr>
          <w:rFonts w:hint="eastAsia" w:ascii="Times New Roman" w:hAnsi="Times New Roman" w:eastAsia="仿宋_GB2312" w:cs="仿宋_GB2312"/>
          <w:b w:val="0"/>
          <w:bCs w:val="0"/>
          <w:color w:val="auto"/>
          <w:sz w:val="32"/>
          <w:szCs w:val="32"/>
          <w:highlight w:val="none"/>
        </w:rPr>
        <w:t>一批技术水平高、市场竞争力强的龙头企业。对标提升招标投标领域优化营商环境，系统治理环保领域低价低质中标乱象，营造公平竞争环境，推动产业健康有序发展。</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三、</w:t>
      </w:r>
      <w:r>
        <w:rPr>
          <w:rFonts w:hint="eastAsia" w:ascii="Times New Roman" w:hAnsi="Times New Roman" w:eastAsia="黑体" w:cs="黑体"/>
          <w:b w:val="0"/>
          <w:bCs w:val="0"/>
          <w:color w:val="auto"/>
          <w:sz w:val="32"/>
          <w:szCs w:val="32"/>
          <w:highlight w:val="none"/>
          <w:lang w:eastAsia="zh-CN"/>
        </w:rPr>
        <w:t>加快能源结构绿色低碳转型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楷体_GB2312" w:cs="楷体_GB2312"/>
          <w:b/>
          <w:bCs/>
          <w:color w:val="auto"/>
          <w:sz w:val="32"/>
          <w:szCs w:val="32"/>
          <w:highlight w:val="none"/>
          <w:lang w:val="en-US" w:eastAsia="zh-CN"/>
        </w:rPr>
        <w:t>（七）加快推广使用清洁能源。</w:t>
      </w:r>
      <w:r>
        <w:rPr>
          <w:rFonts w:hint="eastAsia" w:ascii="Times New Roman" w:hAnsi="Times New Roman" w:eastAsia="仿宋_GB2312" w:cs="仿宋_GB2312"/>
          <w:b w:val="0"/>
          <w:bCs w:val="0"/>
          <w:color w:val="auto"/>
          <w:sz w:val="32"/>
          <w:szCs w:val="32"/>
          <w:highlight w:val="none"/>
        </w:rPr>
        <w:t>深入实施风电光伏发电装机倍增工程，提高电能占终端能源消费比重。到2025年，非化石能源消费比重达到15.5%以上，电能占终端能源消费比重达到30%左右。</w:t>
      </w:r>
      <w:r>
        <w:rPr>
          <w:rFonts w:hint="eastAsia" w:ascii="Times New Roman" w:hAnsi="Times New Roman" w:eastAsia="仿宋_GB2312" w:cs="仿宋_GB2312"/>
          <w:b w:val="0"/>
          <w:bCs w:val="0"/>
          <w:color w:val="auto"/>
          <w:sz w:val="32"/>
          <w:szCs w:val="32"/>
          <w:highlight w:val="none"/>
          <w:lang w:eastAsia="zh-CN"/>
        </w:rPr>
        <w:t>推动重点工业园区集中供热全覆盖。</w:t>
      </w:r>
      <w:r>
        <w:rPr>
          <w:rFonts w:hint="eastAsia" w:ascii="Times New Roman" w:hAnsi="Times New Roman" w:eastAsia="仿宋_GB2312" w:cs="仿宋_GB2312"/>
          <w:b w:val="0"/>
          <w:bCs w:val="0"/>
          <w:color w:val="auto"/>
          <w:sz w:val="32"/>
          <w:szCs w:val="32"/>
          <w:highlight w:val="none"/>
        </w:rPr>
        <w:t>推进天然气管道建设，提升城镇燃气管网覆盖率，增强天然气供应能力，新增天然气优先保障居民生活和清洁取暖需求。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（八）推动煤炭消费减量替代。</w:t>
      </w:r>
      <w:r>
        <w:rPr>
          <w:rFonts w:hint="eastAsia" w:ascii="Times New Roman" w:hAnsi="Times New Roman" w:eastAsia="仿宋_GB2312" w:cs="仿宋_GB2312"/>
          <w:b w:val="0"/>
          <w:bCs w:val="0"/>
          <w:color w:val="auto"/>
          <w:sz w:val="32"/>
          <w:szCs w:val="32"/>
          <w:highlight w:val="none"/>
        </w:rPr>
        <w:t>在保障能源安全供应的前提下，继续实施煤炭消费总量控制，到2025年，</w:t>
      </w:r>
      <w:r>
        <w:rPr>
          <w:rFonts w:hint="eastAsia" w:ascii="Times New Roman" w:hAnsi="Times New Roman" w:eastAsia="仿宋_GB2312" w:cs="仿宋_GB2312"/>
          <w:b w:val="0"/>
          <w:bCs w:val="0"/>
          <w:color w:val="auto"/>
          <w:sz w:val="32"/>
          <w:szCs w:val="32"/>
          <w:highlight w:val="none"/>
          <w:lang w:eastAsia="zh-CN"/>
        </w:rPr>
        <w:t>全市</w:t>
      </w:r>
      <w:r>
        <w:rPr>
          <w:rFonts w:hint="eastAsia" w:ascii="Times New Roman" w:hAnsi="Times New Roman" w:eastAsia="仿宋_GB2312" w:cs="仿宋_GB2312"/>
          <w:b w:val="0"/>
          <w:bCs w:val="0"/>
          <w:color w:val="auto"/>
          <w:sz w:val="32"/>
          <w:szCs w:val="32"/>
          <w:highlight w:val="none"/>
        </w:rPr>
        <w:t>煤炭消费量较2020年下降5%左右。</w:t>
      </w:r>
      <w:r>
        <w:rPr>
          <w:rFonts w:hint="eastAsia" w:ascii="Times New Roman" w:hAnsi="Times New Roman" w:eastAsia="仿宋_GB2312" w:cs="仿宋_GB2312"/>
          <w:b w:val="0"/>
          <w:bCs w:val="0"/>
          <w:color w:val="auto"/>
          <w:sz w:val="32"/>
          <w:szCs w:val="32"/>
          <w:highlight w:val="none"/>
          <w:lang w:eastAsia="zh-CN"/>
        </w:rPr>
        <w:t>重点削减非电力用煤。落实煤炭消费减量替代管理办法，</w:t>
      </w:r>
      <w:r>
        <w:rPr>
          <w:rFonts w:hint="eastAsia" w:ascii="Times New Roman" w:hAnsi="Times New Roman" w:eastAsia="仿宋_GB2312" w:cs="仿宋_GB2312"/>
          <w:b w:val="0"/>
          <w:bCs w:val="0"/>
          <w:color w:val="auto"/>
          <w:sz w:val="32"/>
          <w:szCs w:val="32"/>
          <w:highlight w:val="none"/>
        </w:rPr>
        <w:t>新改扩建用煤项目，依法实行煤炭等量或减量替代，替代方案不完善的不予审批</w:t>
      </w:r>
      <w:r>
        <w:rPr>
          <w:rFonts w:hint="eastAsia" w:eastAsia="仿宋_GB2312" w:cs="仿宋_GB2312"/>
          <w:b w:val="0"/>
          <w:bCs w:val="0"/>
          <w:color w:val="auto"/>
          <w:sz w:val="32"/>
          <w:szCs w:val="32"/>
          <w:highlight w:val="none"/>
          <w:lang w:eastAsia="zh-CN"/>
        </w:rPr>
        <w:t>，不得将使用石油焦、焦炭、兰炭等高污染燃料作为煤炭减量替代措施</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加大民用、农用散煤替代力度，推动散煤基本清零，优先推进农业生产和农产品加工、经营性炉灶、养殖业热风炉等生产经营性领域散煤清零，科学规划居民生活散煤清洁化替代。加强商品煤质量监管，提倡生产和使用优质煤，严禁洗选矸石、煤泥违规流入煤炭销售市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（九）加快推动燃煤锅炉机组升级改造。</w:t>
      </w:r>
      <w:r>
        <w:rPr>
          <w:rFonts w:hint="eastAsia" w:ascii="Times New Roman" w:hAnsi="Times New Roman" w:eastAsia="仿宋_GB2312" w:cs="仿宋_GB2312"/>
          <w:b w:val="0"/>
          <w:bCs w:val="0"/>
          <w:color w:val="auto"/>
          <w:sz w:val="32"/>
          <w:szCs w:val="32"/>
          <w:highlight w:val="none"/>
          <w:lang w:val="en-US" w:eastAsia="zh-CN"/>
        </w:rPr>
        <w:t>大力推动煤电机组</w:t>
      </w:r>
      <w:r>
        <w:rPr>
          <w:rFonts w:hint="eastAsia" w:ascii="Times New Roman" w:hAnsi="Times New Roman" w:eastAsia="仿宋_GB2312" w:cs="仿宋_GB2312"/>
          <w:b w:val="0"/>
          <w:bCs w:val="0"/>
          <w:color w:val="auto"/>
          <w:sz w:val="32"/>
          <w:szCs w:val="32"/>
          <w:highlight w:val="none"/>
        </w:rPr>
        <w:t>节能降碳改造、灵活性改造、供热改造</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三改联动</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2025年底前，</w:t>
      </w:r>
      <w:r>
        <w:rPr>
          <w:rFonts w:hint="eastAsia" w:ascii="Times New Roman" w:hAnsi="Times New Roman" w:eastAsia="仿宋_GB2312" w:cs="仿宋_GB2312"/>
          <w:b w:val="0"/>
          <w:bCs w:val="0"/>
          <w:color w:val="auto"/>
          <w:sz w:val="32"/>
          <w:szCs w:val="32"/>
          <w:highlight w:val="none"/>
        </w:rPr>
        <w:t>现有</w:t>
      </w:r>
      <w:r>
        <w:rPr>
          <w:rFonts w:hint="eastAsia" w:ascii="Times New Roman" w:hAnsi="Times New Roman" w:eastAsia="仿宋_GB2312" w:cs="仿宋_GB2312"/>
          <w:b w:val="0"/>
          <w:bCs w:val="0"/>
          <w:color w:val="auto"/>
          <w:sz w:val="32"/>
          <w:szCs w:val="32"/>
          <w:highlight w:val="none"/>
          <w:lang w:val="en-US" w:eastAsia="zh-CN"/>
        </w:rPr>
        <w:t>11</w:t>
      </w:r>
      <w:r>
        <w:rPr>
          <w:rFonts w:hint="eastAsia" w:ascii="Times New Roman" w:hAnsi="Times New Roman" w:eastAsia="仿宋_GB2312" w:cs="仿宋_GB2312"/>
          <w:b w:val="0"/>
          <w:bCs w:val="0"/>
          <w:color w:val="auto"/>
          <w:sz w:val="32"/>
          <w:szCs w:val="32"/>
          <w:highlight w:val="none"/>
        </w:rPr>
        <w:t>台30万千瓦以上煤电机组全面达到</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超净排放”</w:t>
      </w:r>
      <w:r>
        <w:rPr>
          <w:rFonts w:hint="eastAsia" w:ascii="Times New Roman" w:hAnsi="Times New Roman" w:eastAsia="仿宋_GB2312" w:cs="仿宋_GB2312"/>
          <w:b w:val="0"/>
          <w:bCs w:val="0"/>
          <w:color w:val="auto"/>
          <w:sz w:val="32"/>
          <w:szCs w:val="32"/>
          <w:highlight w:val="none"/>
          <w:lang w:eastAsia="zh-CN"/>
        </w:rPr>
        <w:t>，推动退出恒力电业、新源热电煤电机组。燃煤供热锅炉替代项目要纳入城镇供热规划。加快热力管网建设，开展远距离供热示范，科学合理布局供热管道，淘汰管网覆盖范围内的燃煤锅炉和散煤。禁止新建自备燃煤机组，原则上不再新建除集中供暖外的燃煤锅炉。持续推动茶水炉、经营性炉灶、储粮烘干设备、农产品加工等各类燃煤设施清洁能源替代。对30万千瓦以上热电联产机组供热半径30公里范围内燃煤锅炉和落后燃煤小热电机组（含自备电厂）进行关停整合。</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（十）推动工业炉窑清洁能源替代。</w:t>
      </w:r>
      <w:r>
        <w:rPr>
          <w:rFonts w:hint="eastAsia" w:ascii="Times New Roman" w:hAnsi="Times New Roman" w:eastAsia="仿宋_GB2312" w:cs="仿宋_GB2312"/>
          <w:b w:val="0"/>
          <w:bCs w:val="0"/>
          <w:color w:val="auto"/>
          <w:sz w:val="32"/>
          <w:szCs w:val="32"/>
          <w:highlight w:val="none"/>
        </w:rPr>
        <w:t>有序推进以电代煤</w:t>
      </w:r>
      <w:r>
        <w:rPr>
          <w:rFonts w:hint="eastAsia" w:eastAsia="仿宋_GB2312" w:cs="仿宋_GB2312"/>
          <w:b w:val="0"/>
          <w:bCs w:val="0"/>
          <w:color w:val="auto"/>
          <w:sz w:val="32"/>
          <w:szCs w:val="32"/>
          <w:highlight w:val="none"/>
          <w:lang w:eastAsia="zh-CN"/>
        </w:rPr>
        <w:t>，重点推动</w:t>
      </w:r>
      <w:r>
        <w:rPr>
          <w:rFonts w:hint="eastAsia" w:ascii="Times New Roman" w:hAnsi="Times New Roman" w:eastAsia="仿宋_GB2312" w:cs="仿宋_GB2312"/>
          <w:b w:val="0"/>
          <w:bCs w:val="0"/>
          <w:color w:val="auto"/>
          <w:sz w:val="32"/>
          <w:szCs w:val="32"/>
          <w:highlight w:val="none"/>
        </w:rPr>
        <w:t>工业领域电能替代，提高电气化水平</w:t>
      </w:r>
      <w:r>
        <w:rPr>
          <w:rFonts w:hint="eastAsia" w:eastAsia="仿宋_GB2312" w:cs="仿宋_GB2312"/>
          <w:b w:val="0"/>
          <w:bCs w:val="0"/>
          <w:color w:val="auto"/>
          <w:sz w:val="32"/>
          <w:szCs w:val="32"/>
          <w:highlight w:val="none"/>
          <w:lang w:eastAsia="zh-CN"/>
        </w:rPr>
        <w:t>；积极稳妥推进以气代煤，</w:t>
      </w:r>
      <w:r>
        <w:rPr>
          <w:rFonts w:hint="eastAsia" w:ascii="Times New Roman" w:hAnsi="Times New Roman" w:eastAsia="仿宋_GB2312" w:cs="仿宋_GB2312"/>
          <w:b w:val="0"/>
          <w:bCs w:val="0"/>
          <w:color w:val="auto"/>
          <w:sz w:val="32"/>
          <w:szCs w:val="32"/>
          <w:highlight w:val="none"/>
        </w:rPr>
        <w:t>推动大用户直供气，降低供气成本。不再新增燃料类煤气发生炉，新改扩建加热炉、热处理炉、干燥炉、熔化炉原则上采用清洁低碳能源。燃料类煤气发生炉实施清洁能源替代，或因地制宜采取园区（集群）集中供气、分散使用方式。逐步淘汰固定床间歇式煤气发生炉，鼓励现有煤气发生炉“小改大”。安全稳妥推进使用高污染燃料的工业炉窑改用工业余热、电能、天然气等，推动石油焦、重油等高污染燃料逐步替代。</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四、</w:t>
      </w:r>
      <w:r>
        <w:rPr>
          <w:rFonts w:hint="eastAsia" w:ascii="Times New Roman" w:hAnsi="Times New Roman" w:eastAsia="黑体" w:cs="黑体"/>
          <w:b w:val="0"/>
          <w:bCs w:val="0"/>
          <w:color w:val="auto"/>
          <w:sz w:val="32"/>
          <w:szCs w:val="32"/>
          <w:highlight w:val="none"/>
          <w:lang w:eastAsia="zh-CN"/>
        </w:rPr>
        <w:t>优化完善交通运输结构</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（十一）推动货物运输清洁化。</w:t>
      </w:r>
      <w:r>
        <w:rPr>
          <w:rFonts w:hint="eastAsia" w:ascii="Times New Roman" w:hAnsi="Times New Roman" w:eastAsia="仿宋_GB2312" w:cs="仿宋_GB2312"/>
          <w:b w:val="0"/>
          <w:bCs w:val="0"/>
          <w:color w:val="auto"/>
          <w:sz w:val="32"/>
          <w:szCs w:val="32"/>
          <w:highlight w:val="none"/>
        </w:rPr>
        <w:t>大宗货物中长距离运输优先采用铁路、水路运输，短距离运输优先采用封闭式皮带廊道或新能源车船。</w:t>
      </w:r>
      <w:r>
        <w:rPr>
          <w:rFonts w:hint="eastAsia" w:ascii="Times New Roman" w:hAnsi="Times New Roman" w:eastAsia="仿宋_GB2312" w:cs="仿宋_GB2312"/>
          <w:b w:val="0"/>
          <w:bCs w:val="0"/>
          <w:color w:val="auto"/>
          <w:sz w:val="32"/>
          <w:szCs w:val="32"/>
          <w:highlight w:val="none"/>
          <w:lang w:val="en-US" w:eastAsia="zh-CN"/>
        </w:rPr>
        <w:t>推广提升“铁水联运”、多式联运，发挥“淮北市多式联运示范工程”作用，大宗货物“散改集”，集装箱铁水联运量力争年均增长15%。</w:t>
      </w:r>
      <w:r>
        <w:rPr>
          <w:rFonts w:hint="eastAsia" w:ascii="Times New Roman" w:hAnsi="Times New Roman" w:eastAsia="仿宋_GB2312" w:cs="仿宋_GB2312"/>
          <w:b w:val="0"/>
          <w:bCs w:val="0"/>
          <w:color w:val="auto"/>
          <w:sz w:val="32"/>
          <w:szCs w:val="32"/>
          <w:highlight w:val="none"/>
        </w:rPr>
        <w:t>将清洁运输作为煤矿、火电、水泥、有色、焦化、煤化工等行业新改扩建项目审核和监管重点。到2025年，铁路、水路货运量分别比2020年增长10%和12%左右，煤炭、焦化、火电、有色等行业清洁运输（含新能源车）比例达到80%，建材（含砂石骨料）清洁运输比例达到60%。</w:t>
      </w:r>
      <w:r>
        <w:rPr>
          <w:rFonts w:hint="eastAsia" w:ascii="Times New Roman" w:hAnsi="Times New Roman" w:eastAsia="仿宋_GB2312" w:cs="仿宋_GB2312"/>
          <w:b w:val="0"/>
          <w:bCs w:val="0"/>
          <w:color w:val="auto"/>
          <w:sz w:val="32"/>
          <w:szCs w:val="32"/>
          <w:highlight w:val="none"/>
          <w:lang w:val="en-US" w:eastAsia="zh-CN"/>
        </w:rPr>
        <w:t>加快重点园区、大型企业和货运枢纽铁路专用线和联运转运装卸衔接设施建设，最大程度发挥既有线路效能，对城市铁路场站进行适货化改造。</w:t>
      </w:r>
      <w:r>
        <w:rPr>
          <w:rFonts w:hint="eastAsia" w:ascii="Times New Roman" w:hAnsi="Times New Roman" w:eastAsia="仿宋_GB2312" w:cs="仿宋_GB2312"/>
          <w:b w:val="0"/>
          <w:bCs w:val="0"/>
          <w:color w:val="auto"/>
          <w:sz w:val="32"/>
          <w:szCs w:val="32"/>
          <w:highlight w:val="none"/>
        </w:rPr>
        <w:t>新建及迁建大宗货物年运量150万吨以上的物流园区、工矿企业和储煤基地，原则上接入铁路专用线或管道。强化土地利用、验收投运、运力调配、铁路运价等措施保障。</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（十二）强化新能源车辆推广和</w:t>
      </w:r>
      <w:r>
        <w:rPr>
          <w:rFonts w:hint="eastAsia" w:eastAsia="楷体_GB2312" w:cs="楷体_GB2312"/>
          <w:b/>
          <w:bCs/>
          <w:color w:val="auto"/>
          <w:sz w:val="32"/>
          <w:szCs w:val="32"/>
          <w:highlight w:val="none"/>
          <w:lang w:val="en-US" w:eastAsia="zh-CN"/>
        </w:rPr>
        <w:t>车辆尾气</w:t>
      </w:r>
      <w:r>
        <w:rPr>
          <w:rFonts w:hint="eastAsia" w:ascii="Times New Roman" w:hAnsi="Times New Roman" w:eastAsia="楷体_GB2312" w:cs="楷体_GB2312"/>
          <w:b/>
          <w:bCs/>
          <w:color w:val="auto"/>
          <w:sz w:val="32"/>
          <w:szCs w:val="32"/>
          <w:highlight w:val="none"/>
          <w:lang w:val="en-US" w:eastAsia="zh-CN"/>
        </w:rPr>
        <w:t>排放监管。</w:t>
      </w:r>
      <w:r>
        <w:rPr>
          <w:rFonts w:hint="eastAsia" w:ascii="Times New Roman" w:hAnsi="Times New Roman" w:eastAsia="仿宋_GB2312" w:cs="仿宋_GB2312"/>
          <w:b w:val="0"/>
          <w:bCs w:val="0"/>
          <w:color w:val="auto"/>
          <w:sz w:val="32"/>
          <w:szCs w:val="32"/>
          <w:highlight w:val="none"/>
          <w:lang w:val="en-US" w:eastAsia="zh-CN"/>
        </w:rPr>
        <w:t>开展新能源汽车下乡和“以旧换新”系列活动。公共领域新增或更新的公交车、出租车、公务用车、城市物流配送、轻型环卫车辆等原则上100%使用新能源汽车</w:t>
      </w:r>
      <w:r>
        <w:rPr>
          <w:rFonts w:hint="eastAsia" w:eastAsia="仿宋_GB2312" w:cs="仿宋_GB2312"/>
          <w:b w:val="0"/>
          <w:bCs w:val="0"/>
          <w:color w:val="auto"/>
          <w:sz w:val="32"/>
          <w:szCs w:val="32"/>
          <w:highlight w:val="none"/>
          <w:lang w:val="en-US" w:eastAsia="zh-CN"/>
        </w:rPr>
        <w:t>，推动城市建成区出租车基本更新为新能源汽车</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深入开展清洁柴油车（机）行动，</w:t>
      </w:r>
      <w:r>
        <w:rPr>
          <w:rFonts w:hint="eastAsia" w:eastAsia="仿宋_GB2312" w:cs="仿宋_GB2312"/>
          <w:b w:val="0"/>
          <w:bCs w:val="0"/>
          <w:color w:val="auto"/>
          <w:sz w:val="32"/>
          <w:szCs w:val="32"/>
          <w:highlight w:val="none"/>
          <w:lang w:val="en-US" w:eastAsia="zh-CN"/>
        </w:rPr>
        <w:t>2025年底前</w:t>
      </w:r>
      <w:r>
        <w:rPr>
          <w:rFonts w:hint="eastAsia" w:ascii="Times New Roman" w:hAnsi="Times New Roman" w:eastAsia="仿宋_GB2312" w:cs="仿宋_GB2312"/>
          <w:b w:val="0"/>
          <w:bCs w:val="0"/>
          <w:color w:val="auto"/>
          <w:sz w:val="32"/>
          <w:szCs w:val="32"/>
          <w:highlight w:val="none"/>
          <w:lang w:val="en-US" w:eastAsia="zh-CN"/>
        </w:rPr>
        <w:t>基本淘汰国三及以下排放标准汽车。</w:t>
      </w:r>
      <w:r>
        <w:rPr>
          <w:rFonts w:hint="eastAsia" w:ascii="Times New Roman" w:hAnsi="Times New Roman" w:eastAsia="仿宋_GB2312" w:cs="仿宋_GB2312"/>
          <w:b w:val="0"/>
          <w:bCs w:val="0"/>
          <w:color w:val="auto"/>
          <w:sz w:val="32"/>
          <w:szCs w:val="32"/>
          <w:highlight w:val="none"/>
        </w:rPr>
        <w:t>加快淘汰采用稀薄燃烧技术的燃气货车</w:t>
      </w:r>
      <w:r>
        <w:rPr>
          <w:rFonts w:hint="eastAsia" w:ascii="Times New Roman" w:hAnsi="Times New Roman" w:eastAsia="仿宋_GB2312" w:cs="仿宋_GB2312"/>
          <w:b w:val="0"/>
          <w:bCs w:val="0"/>
          <w:color w:val="auto"/>
          <w:sz w:val="32"/>
          <w:szCs w:val="32"/>
          <w:highlight w:val="none"/>
          <w:lang w:val="en-US" w:eastAsia="zh-CN"/>
        </w:rPr>
        <w:t>。支持清洁运输企业发展，推广使用新能源中重型货车，发展零排放货运车队，在中心城区先行开展新能源渣土车推广试点工作。推动省、市属国有企业先行推进运输车辆新能源化。</w:t>
      </w:r>
      <w:r>
        <w:rPr>
          <w:rFonts w:hint="eastAsia" w:eastAsia="仿宋_GB2312" w:cs="仿宋_GB2312"/>
          <w:b w:val="0"/>
          <w:bCs w:val="0"/>
          <w:color w:val="auto"/>
          <w:sz w:val="32"/>
          <w:szCs w:val="32"/>
          <w:highlight w:val="none"/>
          <w:lang w:val="en-US" w:eastAsia="zh-CN"/>
        </w:rPr>
        <w:t>推行</w:t>
      </w:r>
      <w:r>
        <w:rPr>
          <w:rFonts w:hint="eastAsia" w:ascii="Times New Roman" w:hAnsi="Times New Roman" w:eastAsia="仿宋_GB2312" w:cs="仿宋_GB2312"/>
          <w:b w:val="0"/>
          <w:bCs w:val="0"/>
          <w:color w:val="auto"/>
          <w:sz w:val="32"/>
          <w:szCs w:val="32"/>
          <w:highlight w:val="none"/>
          <w:lang w:val="en-US" w:eastAsia="zh-CN"/>
        </w:rPr>
        <w:t>新能源车辆在城市泊位停车的优惠政策。加快高速服务区快充站建设，力争到2025年，高速服务区快充站覆盖率不低于80%。强化新销售货车监督抽查，实现系族全覆盖。加强重型货车路检路查和入户检查</w:t>
      </w:r>
      <w:r>
        <w:rPr>
          <w:rFonts w:hint="eastAsia"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严厉打击污染控制装置造假、尾气排放不达标等行为。鼓励开展燃油蒸发排放控制检测。全面实施汽车排放检验与维护制度和机动车排放召回制度，强化对机动车排放检测机构的监管执法。</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（十三）加快非道路移动源综合治理。</w:t>
      </w:r>
      <w:r>
        <w:rPr>
          <w:rFonts w:hint="eastAsia" w:ascii="Times New Roman" w:hAnsi="Times New Roman" w:eastAsia="仿宋_GB2312" w:cs="仿宋_GB2312"/>
          <w:b w:val="0"/>
          <w:bCs w:val="0"/>
          <w:color w:val="auto"/>
          <w:sz w:val="32"/>
          <w:szCs w:val="32"/>
          <w:highlight w:val="none"/>
        </w:rPr>
        <w:t>实施非道路移动机械第四阶段排放标准，落实非道路移动机械排放控制区管控</w:t>
      </w:r>
      <w:r>
        <w:rPr>
          <w:rFonts w:hint="eastAsia" w:eastAsia="仿宋_GB2312" w:cs="仿宋_GB2312"/>
          <w:b w:val="0"/>
          <w:bCs w:val="0"/>
          <w:color w:val="auto"/>
          <w:sz w:val="32"/>
          <w:szCs w:val="32"/>
          <w:highlight w:val="none"/>
          <w:lang w:eastAsia="zh-CN"/>
        </w:rPr>
        <w:t>，采用电子标签、电子围栏、排气监控等技术手段对控制区域进行实时监控</w:t>
      </w:r>
      <w:r>
        <w:rPr>
          <w:rFonts w:hint="eastAsia" w:ascii="Times New Roman" w:hAnsi="Times New Roman" w:eastAsia="仿宋_GB2312" w:cs="仿宋_GB2312"/>
          <w:b w:val="0"/>
          <w:bCs w:val="0"/>
          <w:color w:val="auto"/>
          <w:sz w:val="32"/>
          <w:szCs w:val="32"/>
          <w:highlight w:val="none"/>
        </w:rPr>
        <w:t>。</w:t>
      </w:r>
      <w:r>
        <w:rPr>
          <w:rFonts w:hint="eastAsia" w:eastAsia="仿宋_GB2312" w:cs="仿宋_GB2312"/>
          <w:b w:val="0"/>
          <w:bCs w:val="0"/>
          <w:color w:val="auto"/>
          <w:sz w:val="32"/>
          <w:szCs w:val="32"/>
          <w:highlight w:val="none"/>
          <w:lang w:eastAsia="zh-CN"/>
        </w:rPr>
        <w:t>持续推进非道路移动机械编码登记。</w:t>
      </w:r>
      <w:r>
        <w:rPr>
          <w:rFonts w:hint="eastAsia" w:ascii="Times New Roman" w:hAnsi="Times New Roman" w:eastAsia="仿宋_GB2312" w:cs="仿宋_GB2312"/>
          <w:b w:val="0"/>
          <w:bCs w:val="0"/>
          <w:color w:val="auto"/>
          <w:sz w:val="32"/>
          <w:szCs w:val="32"/>
          <w:highlight w:val="none"/>
        </w:rPr>
        <w:t>加快推进铁路货场、物流园区、港口、工矿企业新增或更新的作业车辆和机械新能源化。推动发展新能源和清洁能源船舶，加快港口岸电设施和船舶受电设施建设及改造，提高岸电使用率。大力推动老旧铁路机车淘汰，鼓励中心城市铁路站场及煤炭、冶金等行业推广新能源铁路装备。到2025年，消除非道路移动机械、船舶及重点区域铁路机车“冒黑烟”现象，基本淘汰第一阶段及以下排放标准的非道路移动机械。</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（十四）加强成品油质量监管。</w:t>
      </w:r>
      <w:r>
        <w:rPr>
          <w:rFonts w:hint="eastAsia" w:ascii="Times New Roman" w:hAnsi="Times New Roman" w:eastAsia="仿宋_GB2312" w:cs="仿宋_GB2312"/>
          <w:b w:val="0"/>
          <w:bCs w:val="0"/>
          <w:color w:val="auto"/>
          <w:sz w:val="32"/>
          <w:szCs w:val="32"/>
          <w:highlight w:val="none"/>
        </w:rPr>
        <w:t>加强油品进口、生产、仓储、销售、运输、使用全环节监管，全面清理整顿证照不全的自建油罐、流动加油车（船）和黑加油站点。开展打击非标油品专项行动，严厉追究将非标油品作为发动机燃料销售等行为主体责任。加大对加油站、储油库、油罐车油气回收系统抽查力度，有效控制卸油、储存、加油等环节污染，提高货车、非道路移动机械、船舶油箱中柴油抽测频次。</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eastAsia="zh-CN"/>
        </w:rPr>
        <w:t>五、提升面源污染精细化治理水平</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kern w:val="2"/>
          <w:sz w:val="32"/>
          <w:szCs w:val="32"/>
          <w:highlight w:val="none"/>
          <w:lang w:val="en-US" w:eastAsia="zh-CN" w:bidi="ar-SA"/>
        </w:rPr>
        <w:t>（十五）加强建筑工地、道路扬尘污染和矿山综合治理。</w:t>
      </w:r>
      <w:r>
        <w:rPr>
          <w:rFonts w:hint="eastAsia" w:ascii="Times New Roman" w:hAnsi="Times New Roman" w:eastAsia="仿宋_GB2312" w:cs="仿宋_GB2312"/>
          <w:b w:val="0"/>
          <w:bCs w:val="0"/>
          <w:color w:val="auto"/>
          <w:sz w:val="32"/>
          <w:szCs w:val="32"/>
          <w:highlight w:val="none"/>
        </w:rPr>
        <w:t>推动建筑业工业化、数字化、绿色化发展，提高城市道路保洁质量和效率。到2025年，装配式建筑占新建建筑面积比例40%以上，城市建成区道路机械化清扫率达90%左右，县城达70%左右</w:t>
      </w:r>
      <w:r>
        <w:rPr>
          <w:rFonts w:hint="eastAsia" w:ascii="Times New Roman" w:hAnsi="Times New Roman" w:eastAsia="仿宋_GB2312" w:cs="仿宋_GB2312"/>
          <w:b w:val="0"/>
          <w:bCs w:val="0"/>
          <w:color w:val="auto"/>
          <w:sz w:val="32"/>
          <w:szCs w:val="32"/>
          <w:highlight w:val="none"/>
          <w:lang w:eastAsia="zh-CN"/>
        </w:rPr>
        <w:t>，降尘量不高于5吨/月·平方公里</w:t>
      </w:r>
      <w:r>
        <w:rPr>
          <w:rFonts w:hint="eastAsia" w:ascii="Times New Roman" w:hAnsi="Times New Roman" w:eastAsia="仿宋_GB2312" w:cs="仿宋_GB2312"/>
          <w:b w:val="0"/>
          <w:bCs w:val="0"/>
          <w:color w:val="auto"/>
          <w:sz w:val="32"/>
          <w:szCs w:val="32"/>
          <w:highlight w:val="none"/>
        </w:rPr>
        <w:t>。推动</w:t>
      </w:r>
      <w:r>
        <w:rPr>
          <w:rFonts w:hint="eastAsia" w:ascii="Times New Roman" w:hAnsi="Times New Roman" w:eastAsia="仿宋_GB2312" w:cs="仿宋_GB2312"/>
          <w:b w:val="0"/>
          <w:bCs w:val="0"/>
          <w:color w:val="auto"/>
          <w:sz w:val="32"/>
          <w:szCs w:val="32"/>
          <w:highlight w:val="none"/>
          <w:lang w:eastAsia="zh-CN"/>
        </w:rPr>
        <w:t>全市</w:t>
      </w:r>
      <w:r>
        <w:rPr>
          <w:rFonts w:hint="eastAsia" w:ascii="Times New Roman" w:hAnsi="Times New Roman" w:eastAsia="仿宋_GB2312" w:cs="仿宋_GB2312"/>
          <w:b w:val="0"/>
          <w:bCs w:val="0"/>
          <w:color w:val="auto"/>
          <w:sz w:val="32"/>
          <w:szCs w:val="32"/>
          <w:highlight w:val="none"/>
        </w:rPr>
        <w:t>1万平方米以上规模建筑工地安装视频监控并接入监管平台，到2025年底，安装接入率达70%以上。实施典型带动，开展标准化施工场地、预拌混凝土搅拌站等创建工作。推进建筑垃圾源头管控，提升房屋建筑和市政工程施工工地扬尘污染防治水平。</w:t>
      </w:r>
      <w:r>
        <w:rPr>
          <w:rFonts w:hint="eastAsia" w:ascii="Times New Roman" w:hAnsi="Times New Roman" w:eastAsia="仿宋_GB2312" w:cs="仿宋_GB2312"/>
          <w:b w:val="0"/>
          <w:bCs w:val="0"/>
          <w:color w:val="auto"/>
          <w:kern w:val="2"/>
          <w:sz w:val="32"/>
          <w:szCs w:val="32"/>
          <w:highlight w:val="none"/>
          <w:lang w:val="en-US" w:eastAsia="zh-CN" w:bidi="ar-SA"/>
        </w:rPr>
        <w:t>加强城市公共裸地扬尘管控，对在建工地、闲置地块等裸露土地开展排查建档，因地制宜落实抑尘措施。严格落实城市大型煤炭、矿石等干散货码头物料堆放场所主体责任，完善露天堆场防风网、喷淋装置、防尘屏障等抑尘设施建设和物料输送系统封闭改造。推动矿山综合治理，限期整改仍不达标的矿山，由矿山所在地人民政府根据安全生产、水土保持、生态环境等要求依法关闭。</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（十六）深化群众“家门口”生态环境问题整治。</w:t>
      </w:r>
      <w:r>
        <w:rPr>
          <w:rFonts w:hint="eastAsia" w:ascii="Times New Roman" w:hAnsi="Times New Roman" w:eastAsia="仿宋_GB2312" w:cs="仿宋_GB2312"/>
          <w:color w:val="auto"/>
          <w:sz w:val="32"/>
          <w:szCs w:val="32"/>
          <w:highlight w:val="none"/>
        </w:rPr>
        <w:t>开展餐饮油烟和噪声扰民问题整治巩固提升行动，</w:t>
      </w:r>
      <w:r>
        <w:rPr>
          <w:rFonts w:hint="eastAsia" w:ascii="Times New Roman" w:hAnsi="Times New Roman" w:eastAsia="仿宋_GB2312" w:cs="仿宋_GB2312"/>
          <w:b w:val="0"/>
          <w:bCs w:val="0"/>
          <w:color w:val="auto"/>
          <w:kern w:val="2"/>
          <w:sz w:val="32"/>
          <w:szCs w:val="32"/>
          <w:highlight w:val="none"/>
          <w:lang w:val="en-US" w:eastAsia="zh-CN" w:bidi="ar-SA"/>
        </w:rPr>
        <w:t>坚持因地制宜、源头治理、分类施策，</w:t>
      </w:r>
      <w:r>
        <w:rPr>
          <w:rFonts w:hint="eastAsia" w:ascii="Times New Roman" w:hAnsi="Times New Roman" w:eastAsia="仿宋_GB2312" w:cs="仿宋_GB2312"/>
          <w:color w:val="auto"/>
          <w:sz w:val="32"/>
          <w:szCs w:val="32"/>
          <w:highlight w:val="none"/>
        </w:rPr>
        <w:t>严格居民楼附近餐饮服务单位布局管理，对拟开设餐饮服务单位的建筑督促设计建设专用烟道。以集中处理为主、分散处理为辅，稳妥有序推进厨余垃圾处理设施建设。大力整治群众反映强烈的恶臭异味扰民问题，在投诉集中的工业园区、重点企业安装运行在线监测系统。</w:t>
      </w:r>
      <w:r>
        <w:rPr>
          <w:rFonts w:hint="eastAsia" w:ascii="Times New Roman" w:hAnsi="Times New Roman" w:eastAsia="仿宋_GB2312" w:cs="仿宋_GB2312"/>
          <w:b w:val="0"/>
          <w:bCs w:val="0"/>
          <w:color w:val="auto"/>
          <w:kern w:val="2"/>
          <w:sz w:val="32"/>
          <w:szCs w:val="32"/>
          <w:highlight w:val="none"/>
          <w:lang w:val="en-US" w:eastAsia="zh-CN" w:bidi="ar-SA"/>
        </w:rPr>
        <w:t>加强生活垃圾封闭化收集转运，严防垃圾及渗滤液抛洒滴漏。</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（十七）完善秸秆综合利用方式和禁烧机制。</w:t>
      </w:r>
      <w:r>
        <w:rPr>
          <w:rFonts w:hint="eastAsia" w:ascii="Times New Roman" w:hAnsi="Times New Roman" w:eastAsia="仿宋_GB2312" w:cs="仿宋_GB2312"/>
          <w:b w:val="0"/>
          <w:bCs w:val="0"/>
          <w:color w:val="auto"/>
          <w:sz w:val="32"/>
          <w:szCs w:val="32"/>
          <w:highlight w:val="none"/>
        </w:rPr>
        <w:t>完善秸秆综合利用方式，规范化、标准化推进秸秆科学还田。健全收储运服务体系，不断提高产业化利用水平和效益，提高秸秆综合利用能力。到2025年，全</w:t>
      </w:r>
      <w:r>
        <w:rPr>
          <w:rFonts w:hint="eastAsia" w:ascii="Times New Roman" w:hAnsi="Times New Roman" w:eastAsia="仿宋_GB2312" w:cs="仿宋_GB2312"/>
          <w:b w:val="0"/>
          <w:bCs w:val="0"/>
          <w:color w:val="auto"/>
          <w:sz w:val="32"/>
          <w:szCs w:val="32"/>
          <w:highlight w:val="none"/>
          <w:lang w:eastAsia="zh-CN"/>
        </w:rPr>
        <w:t>市</w:t>
      </w:r>
      <w:r>
        <w:rPr>
          <w:rFonts w:hint="eastAsia" w:ascii="Times New Roman" w:hAnsi="Times New Roman" w:eastAsia="仿宋_GB2312" w:cs="仿宋_GB2312"/>
          <w:b w:val="0"/>
          <w:bCs w:val="0"/>
          <w:color w:val="auto"/>
          <w:sz w:val="32"/>
          <w:szCs w:val="32"/>
          <w:highlight w:val="none"/>
        </w:rPr>
        <w:t>秸秆综合利用率稳定在95%以上。禁止露天焚烧秸秆，加强秸秆焚烧监控等视频资源</w:t>
      </w:r>
      <w:r>
        <w:rPr>
          <w:rFonts w:hint="eastAsia" w:eastAsia="仿宋_GB2312" w:cs="仿宋_GB2312"/>
          <w:b w:val="0"/>
          <w:bCs w:val="0"/>
          <w:color w:val="auto"/>
          <w:sz w:val="32"/>
          <w:szCs w:val="32"/>
          <w:highlight w:val="none"/>
          <w:lang w:eastAsia="zh-CN"/>
        </w:rPr>
        <w:t>应用及</w:t>
      </w:r>
      <w:r>
        <w:rPr>
          <w:rFonts w:hint="eastAsia" w:ascii="Times New Roman" w:hAnsi="Times New Roman" w:eastAsia="仿宋_GB2312" w:cs="仿宋_GB2312"/>
          <w:b w:val="0"/>
          <w:bCs w:val="0"/>
          <w:color w:val="auto"/>
          <w:sz w:val="32"/>
          <w:szCs w:val="32"/>
          <w:highlight w:val="none"/>
        </w:rPr>
        <w:t>共享，提高秸秆焚烧火点监测精准度。发挥网格化监管体系作用，依托基层组织，强化日常和重点时段巡查检查，及时发现和制止焚烧行为。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eastAsia="zh-CN"/>
        </w:rPr>
        <w:t>六、推动重点行业领域污染物减排</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（十八）加强VOCs综合治理。</w:t>
      </w:r>
      <w:r>
        <w:rPr>
          <w:rFonts w:hint="eastAsia" w:ascii="Times New Roman" w:hAnsi="Times New Roman" w:eastAsia="仿宋_GB2312" w:cs="仿宋_GB2312"/>
          <w:b w:val="0"/>
          <w:bCs w:val="0"/>
          <w:color w:val="auto"/>
          <w:kern w:val="2"/>
          <w:sz w:val="32"/>
          <w:szCs w:val="32"/>
          <w:highlight w:val="none"/>
          <w:lang w:val="en-US" w:eastAsia="zh-CN" w:bidi="ar-SA"/>
        </w:rPr>
        <w:t>推动重点行业企业落实“一企一案”，持续开展低效失效VOCs治理设施整治。</w:t>
      </w:r>
      <w:r>
        <w:rPr>
          <w:rFonts w:hint="eastAsia" w:ascii="Times New Roman" w:hAnsi="Times New Roman" w:eastAsia="仿宋_GB2312" w:cs="仿宋_GB2312"/>
          <w:b w:val="0"/>
          <w:bCs w:val="0"/>
          <w:color w:val="auto"/>
          <w:sz w:val="32"/>
          <w:szCs w:val="32"/>
          <w:highlight w:val="none"/>
        </w:rPr>
        <w:t>鼓励储罐使用低泄漏的呼吸阀、紧急泄压阀</w:t>
      </w:r>
      <w:r>
        <w:rPr>
          <w:rFonts w:hint="eastAsia" w:ascii="Times New Roman" w:hAnsi="Times New Roman" w:eastAsia="仿宋_GB2312" w:cs="仿宋_GB2312"/>
          <w:b w:val="0"/>
          <w:bCs w:val="0"/>
          <w:color w:val="auto"/>
          <w:sz w:val="32"/>
          <w:szCs w:val="32"/>
          <w:highlight w:val="none"/>
          <w:lang w:eastAsia="zh-CN"/>
        </w:rPr>
        <w:t>，定期开展密封性检测</w:t>
      </w:r>
      <w:r>
        <w:rPr>
          <w:rFonts w:hint="eastAsia" w:ascii="Times New Roman" w:hAnsi="Times New Roman" w:eastAsia="仿宋_GB2312" w:cs="仿宋_GB2312"/>
          <w:b w:val="0"/>
          <w:bCs w:val="0"/>
          <w:color w:val="auto"/>
          <w:sz w:val="32"/>
          <w:szCs w:val="32"/>
          <w:highlight w:val="none"/>
        </w:rPr>
        <w:t>。汽车罐车推广使用密封式快速接头。污水处理场所高浓度有机废气单独收集处理；含VOCs有机废水储罐、装置区集水井（池）有机废气密闭收集处理。2024年底前建立统一的</w:t>
      </w:r>
      <w:r>
        <w:rPr>
          <w:rFonts w:hint="eastAsia" w:ascii="Times New Roman" w:hAnsi="Times New Roman" w:eastAsia="仿宋_GB2312" w:cs="仿宋_GB2312"/>
          <w:b w:val="0"/>
          <w:bCs w:val="0"/>
          <w:color w:val="auto"/>
          <w:sz w:val="32"/>
          <w:szCs w:val="32"/>
          <w:highlight w:val="none"/>
          <w:lang w:eastAsia="zh-CN"/>
        </w:rPr>
        <w:t>全市和</w:t>
      </w:r>
      <w:r>
        <w:rPr>
          <w:rFonts w:hint="eastAsia" w:ascii="Times New Roman" w:hAnsi="Times New Roman" w:eastAsia="仿宋_GB2312" w:cs="仿宋_GB2312"/>
          <w:b w:val="0"/>
          <w:bCs w:val="0"/>
          <w:color w:val="auto"/>
          <w:sz w:val="32"/>
          <w:szCs w:val="32"/>
          <w:highlight w:val="none"/>
        </w:rPr>
        <w:t>石化、化工行业集中的重点工业园区泄漏检测与修复信息管理平台。</w:t>
      </w:r>
      <w:r>
        <w:rPr>
          <w:rFonts w:hint="eastAsia" w:ascii="Times New Roman" w:hAnsi="Times New Roman" w:eastAsia="仿宋_GB2312" w:cs="仿宋_GB2312"/>
          <w:b w:val="0"/>
          <w:bCs w:val="0"/>
          <w:color w:val="auto"/>
          <w:kern w:val="2"/>
          <w:sz w:val="32"/>
          <w:szCs w:val="32"/>
          <w:highlight w:val="none"/>
          <w:lang w:val="en-US" w:eastAsia="zh-CN" w:bidi="ar-SA"/>
        </w:rPr>
        <w:t>企业开停工、检维修期间，及时收集处理退料、清洗、吹扫等作业产生的VOCs废气，不得将火炬燃烧装置作为日常大气污染处理设施。</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（十九）加快低（无）VOCs原辅材料替代。</w:t>
      </w:r>
      <w:r>
        <w:rPr>
          <w:rFonts w:hint="eastAsia" w:ascii="Times New Roman" w:hAnsi="Times New Roman" w:eastAsia="仿宋_GB2312" w:cs="仿宋_GB2312"/>
          <w:color w:val="auto"/>
          <w:sz w:val="32"/>
          <w:szCs w:val="32"/>
          <w:highlight w:val="none"/>
        </w:rPr>
        <w:t>严格控制生产和使用高VOCs含量涂料、油墨、胶粘剂、清洗剂等建设项目</w:t>
      </w:r>
      <w:r>
        <w:rPr>
          <w:rFonts w:hint="eastAsia" w:ascii="Times New Roman" w:hAnsi="Times New Roman" w:eastAsia="仿宋_GB2312" w:cs="仿宋_GB2312"/>
          <w:b w:val="0"/>
          <w:bCs w:val="0"/>
          <w:color w:val="auto"/>
          <w:kern w:val="2"/>
          <w:sz w:val="32"/>
          <w:szCs w:val="32"/>
          <w:highlight w:val="none"/>
          <w:lang w:val="en-US" w:eastAsia="zh-CN" w:bidi="ar-SA"/>
        </w:rPr>
        <w:t>。推动现有高VOCs含量产品生产企业加快产品升级转型，提高低（无）VOCs含量产品比重。加大工业涂装、包装印刷和电子行业低（无）VOCs含量原辅材料替代力度。室外构筑物防护和城市道路交通标志推广使用低（无）VOCs含量涂料。在生产、销售、进口、使用等环节严格执行VOCs含量限值标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kern w:val="2"/>
          <w:sz w:val="32"/>
          <w:szCs w:val="32"/>
          <w:highlight w:val="none"/>
          <w:lang w:val="en-US" w:eastAsia="zh-CN" w:bidi="ar-SA"/>
        </w:rPr>
        <w:t>（二十）加快涉气重点行业深度治理。</w:t>
      </w:r>
      <w:r>
        <w:rPr>
          <w:rFonts w:hint="eastAsia" w:ascii="Times New Roman" w:hAnsi="Times New Roman" w:eastAsia="仿宋_GB2312" w:cs="仿宋_GB2312"/>
          <w:color w:val="auto"/>
          <w:sz w:val="32"/>
          <w:szCs w:val="32"/>
          <w:highlight w:val="none"/>
        </w:rPr>
        <w:t>高质量推进水泥、焦化等重点行业及燃煤锅炉超低排放改造。到2025年，全</w:t>
      </w:r>
      <w:r>
        <w:rPr>
          <w:rFonts w:hint="eastAsia" w:ascii="Times New Roman" w:hAnsi="Times New Roman" w:eastAsia="仿宋_GB2312" w:cs="仿宋_GB2312"/>
          <w:color w:val="auto"/>
          <w:sz w:val="32"/>
          <w:szCs w:val="32"/>
          <w:highlight w:val="none"/>
          <w:lang w:eastAsia="zh-CN"/>
        </w:rPr>
        <w:t>市</w:t>
      </w:r>
      <w:r>
        <w:rPr>
          <w:rFonts w:hint="eastAsia" w:ascii="Times New Roman" w:hAnsi="Times New Roman" w:eastAsia="仿宋_GB2312" w:cs="仿宋_GB2312"/>
          <w:color w:val="auto"/>
          <w:sz w:val="32"/>
          <w:szCs w:val="32"/>
          <w:highlight w:val="none"/>
        </w:rPr>
        <w:t>燃煤锅炉全面完成超低排放改造，独立烧结、球团、热轧企业参照钢铁超低排放标准力争完成改造。推进重点行业深度治理，</w:t>
      </w:r>
      <w:r>
        <w:rPr>
          <w:rFonts w:hint="eastAsia" w:ascii="Times New Roman" w:hAnsi="Times New Roman" w:eastAsia="仿宋_GB2312" w:cs="仿宋_GB2312"/>
          <w:color w:val="auto"/>
          <w:sz w:val="32"/>
          <w:szCs w:val="32"/>
          <w:highlight w:val="none"/>
          <w:lang w:eastAsia="zh-CN"/>
        </w:rPr>
        <w:t>加快完成</w:t>
      </w:r>
      <w:r>
        <w:rPr>
          <w:rFonts w:hint="eastAsia" w:ascii="Times New Roman" w:hAnsi="Times New Roman" w:eastAsia="仿宋_GB2312" w:cs="仿宋_GB2312"/>
          <w:color w:val="auto"/>
          <w:sz w:val="32"/>
          <w:szCs w:val="32"/>
          <w:highlight w:val="none"/>
        </w:rPr>
        <w:t>燃气锅炉低氮燃烧改造</w:t>
      </w:r>
      <w:r>
        <w:rPr>
          <w:rFonts w:hint="eastAsia" w:ascii="Times New Roman" w:hAnsi="Times New Roman" w:eastAsia="仿宋_GB2312" w:cs="仿宋_GB2312"/>
          <w:color w:val="auto"/>
          <w:sz w:val="32"/>
          <w:szCs w:val="32"/>
          <w:highlight w:val="none"/>
          <w:lang w:eastAsia="zh-CN"/>
        </w:rPr>
        <w:t>，升级提效采用低效治理设施的工业炉窑</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b w:val="0"/>
          <w:bCs w:val="0"/>
          <w:color w:val="auto"/>
          <w:kern w:val="2"/>
          <w:sz w:val="32"/>
          <w:szCs w:val="32"/>
          <w:highlight w:val="none"/>
          <w:lang w:val="en-US" w:eastAsia="zh-CN" w:bidi="ar-SA"/>
        </w:rPr>
        <w:t>鼓励生物质发电和垃圾焚烧发电企业比照燃煤发电排放标准实施提标改造。</w:t>
      </w:r>
      <w:r>
        <w:rPr>
          <w:rFonts w:hint="eastAsia" w:ascii="Times New Roman" w:hAnsi="Times New Roman" w:eastAsia="仿宋_GB2312" w:cs="仿宋_GB2312"/>
          <w:color w:val="auto"/>
          <w:sz w:val="32"/>
          <w:szCs w:val="32"/>
          <w:highlight w:val="none"/>
        </w:rPr>
        <w:t>生物质锅炉采用专用锅炉，配套布袋等高效除尘设施。推进整合小型生物质锅炉，积极引导城市建成区内生物质锅炉（含电力）超低排放改造。减少非正常工况排放，重点涉气企业逐步取消烟气和含VOCs废气旁路，因安全生产需要无法取消的，安装在线监控系统及备用处置设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bCs/>
          <w:color w:val="auto"/>
          <w:kern w:val="2"/>
          <w:sz w:val="32"/>
          <w:szCs w:val="32"/>
          <w:highlight w:val="none"/>
          <w:lang w:val="en-US" w:eastAsia="zh-CN" w:bidi="ar-SA"/>
        </w:rPr>
        <w:t>（二十一）推动农业和工业领域大气氨污染防控。</w:t>
      </w:r>
      <w:r>
        <w:rPr>
          <w:rFonts w:hint="eastAsia" w:ascii="Times New Roman" w:hAnsi="Times New Roman" w:eastAsia="仿宋_GB2312" w:cs="仿宋_GB2312"/>
          <w:color w:val="auto"/>
          <w:sz w:val="32"/>
          <w:szCs w:val="32"/>
          <w:highlight w:val="none"/>
        </w:rPr>
        <w:t>推广水稻侧深施肥和小麦、玉米种肥同播。推广低蛋白日粮和全混合日粮等精准饲喂技术。研究畜禽养殖场氨气等臭气治理措施，鼓励生猪、鸡等圈舍封闭管理，加强废气收集和处理，推行覆盖式处理与利用粪污技术。开展农药、化肥等减量化行动，减少农药、化肥、农用薄膜和饲料添加剂等生产资料投入</w:t>
      </w:r>
      <w:r>
        <w:rPr>
          <w:rFonts w:hint="eastAsia" w:eastAsia="仿宋_GB2312" w:cs="仿宋_GB2312"/>
          <w:color w:val="auto"/>
          <w:sz w:val="32"/>
          <w:szCs w:val="32"/>
          <w:highlight w:val="none"/>
          <w:lang w:eastAsia="zh-CN"/>
        </w:rPr>
        <w:t>，引导使用低氨、低挥发性有机污染物排放的农药、化肥。</w:t>
      </w:r>
      <w:r>
        <w:rPr>
          <w:rFonts w:hint="eastAsia" w:ascii="Times New Roman" w:hAnsi="Times New Roman" w:eastAsia="仿宋_GB2312" w:cs="仿宋_GB2312"/>
          <w:color w:val="auto"/>
          <w:sz w:val="32"/>
          <w:szCs w:val="32"/>
          <w:highlight w:val="none"/>
        </w:rPr>
        <w:t>。加大企业氨排放监管力度，工业企业严格执行恶臭异味防治要求和烟气脱硫脱硝氨逃逸排放标准。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七、</w:t>
      </w:r>
      <w:r>
        <w:rPr>
          <w:rFonts w:hint="eastAsia" w:ascii="Times New Roman" w:hAnsi="Times New Roman" w:eastAsia="黑体" w:cs="黑体"/>
          <w:b w:val="0"/>
          <w:bCs w:val="0"/>
          <w:color w:val="auto"/>
          <w:sz w:val="32"/>
          <w:szCs w:val="32"/>
          <w:highlight w:val="none"/>
          <w:lang w:eastAsia="zh-CN"/>
        </w:rPr>
        <w:t>推进空气质量达标管理和联防联控</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（二十二）完善空气质量达标管理机制。</w:t>
      </w:r>
      <w:r>
        <w:rPr>
          <w:rFonts w:hint="eastAsia" w:ascii="Times New Roman" w:hAnsi="Times New Roman" w:eastAsia="仿宋_GB2312" w:cs="仿宋_GB2312"/>
          <w:b w:val="0"/>
          <w:bCs w:val="0"/>
          <w:color w:val="auto"/>
          <w:kern w:val="2"/>
          <w:sz w:val="32"/>
          <w:szCs w:val="32"/>
          <w:highlight w:val="none"/>
          <w:lang w:val="en-US" w:eastAsia="zh-CN" w:bidi="ar-SA"/>
        </w:rPr>
        <w:t>实施大气环境质量限期达标规划，</w:t>
      </w:r>
      <w:r>
        <w:rPr>
          <w:rFonts w:hint="eastAsia" w:ascii="Times New Roman" w:hAnsi="Times New Roman" w:eastAsia="仿宋_GB2312" w:cs="仿宋_GB2312"/>
          <w:color w:val="auto"/>
          <w:sz w:val="32"/>
          <w:szCs w:val="32"/>
          <w:highlight w:val="none"/>
        </w:rPr>
        <w:t>推进PM</w:t>
      </w:r>
      <w:r>
        <w:rPr>
          <w:rFonts w:hint="eastAsia" w:ascii="Times New Roman" w:hAnsi="Times New Roman" w:eastAsia="仿宋_GB2312" w:cs="仿宋_GB2312"/>
          <w:color w:val="auto"/>
          <w:sz w:val="32"/>
          <w:szCs w:val="32"/>
          <w:highlight w:val="none"/>
          <w:vertAlign w:val="subscript"/>
        </w:rPr>
        <w:t>2.5</w:t>
      </w:r>
      <w:r>
        <w:rPr>
          <w:rFonts w:hint="eastAsia" w:ascii="Times New Roman" w:hAnsi="Times New Roman" w:eastAsia="仿宋_GB2312" w:cs="仿宋_GB2312"/>
          <w:color w:val="auto"/>
          <w:sz w:val="32"/>
          <w:szCs w:val="32"/>
          <w:highlight w:val="none"/>
        </w:rPr>
        <w:t>和臭氧协同控制，更加注重PM</w:t>
      </w:r>
      <w:r>
        <w:rPr>
          <w:rFonts w:hint="eastAsia" w:ascii="Times New Roman" w:hAnsi="Times New Roman" w:eastAsia="仿宋_GB2312" w:cs="仿宋_GB2312"/>
          <w:color w:val="auto"/>
          <w:sz w:val="32"/>
          <w:szCs w:val="32"/>
          <w:highlight w:val="none"/>
          <w:vertAlign w:val="subscript"/>
        </w:rPr>
        <w:t>2.5</w:t>
      </w:r>
      <w:r>
        <w:rPr>
          <w:rFonts w:hint="eastAsia" w:ascii="Times New Roman" w:hAnsi="Times New Roman" w:eastAsia="仿宋_GB2312" w:cs="仿宋_GB2312"/>
          <w:color w:val="auto"/>
          <w:sz w:val="32"/>
          <w:szCs w:val="32"/>
          <w:highlight w:val="none"/>
        </w:rPr>
        <w:t>治理</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eastAsia="zh-CN"/>
        </w:rPr>
        <w:t>全力推动完成</w:t>
      </w:r>
      <w:r>
        <w:rPr>
          <w:rFonts w:hint="eastAsia" w:ascii="Times New Roman" w:hAnsi="Times New Roman" w:eastAsia="仿宋_GB2312" w:cs="仿宋_GB2312"/>
          <w:color w:val="auto"/>
          <w:sz w:val="32"/>
          <w:szCs w:val="32"/>
          <w:highlight w:val="none"/>
        </w:rPr>
        <w:t>“十四五”空气质量改善阶段目标。</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（二十三）健全重污染天气应对机制。</w:t>
      </w:r>
      <w:r>
        <w:rPr>
          <w:rFonts w:hint="eastAsia" w:ascii="Times New Roman" w:hAnsi="Times New Roman" w:eastAsia="仿宋_GB2312" w:cs="仿宋_GB2312"/>
          <w:b w:val="0"/>
          <w:bCs w:val="0"/>
          <w:color w:val="auto"/>
          <w:sz w:val="32"/>
          <w:szCs w:val="32"/>
          <w:highlight w:val="none"/>
        </w:rPr>
        <w:t>完善重污染天气应对预案体系，规范重污染天气预警、启动、响应、解除工作流程。优化重污染天气预警启动标准，修订重污染天气应急预案。</w:t>
      </w:r>
      <w:r>
        <w:rPr>
          <w:rFonts w:hint="eastAsia" w:ascii="Times New Roman" w:hAnsi="Times New Roman" w:eastAsia="仿宋_GB2312" w:cs="仿宋_GB2312"/>
          <w:b w:val="0"/>
          <w:bCs w:val="0"/>
          <w:color w:val="auto"/>
          <w:sz w:val="32"/>
          <w:szCs w:val="32"/>
          <w:highlight w:val="none"/>
          <w:lang w:eastAsia="zh-CN"/>
        </w:rPr>
        <w:t>落实</w:t>
      </w:r>
      <w:r>
        <w:rPr>
          <w:rFonts w:hint="eastAsia" w:ascii="Times New Roman" w:hAnsi="Times New Roman" w:eastAsia="仿宋_GB2312" w:cs="仿宋_GB2312"/>
          <w:b w:val="0"/>
          <w:bCs w:val="0"/>
          <w:color w:val="auto"/>
          <w:sz w:val="32"/>
          <w:szCs w:val="32"/>
          <w:highlight w:val="none"/>
        </w:rPr>
        <w:t>《重污染天气重点行业绩效分级工作指南》，常态化开展重点行业绩效分级工作，</w:t>
      </w:r>
      <w:r>
        <w:rPr>
          <w:rFonts w:hint="eastAsia" w:eastAsia="仿宋_GB2312" w:cs="仿宋_GB2312"/>
          <w:b w:val="0"/>
          <w:bCs w:val="0"/>
          <w:color w:val="auto"/>
          <w:sz w:val="32"/>
          <w:szCs w:val="32"/>
          <w:highlight w:val="none"/>
          <w:lang w:eastAsia="zh-CN"/>
        </w:rPr>
        <w:t>大力推动</w:t>
      </w:r>
      <w:r>
        <w:rPr>
          <w:rFonts w:hint="eastAsia" w:ascii="Times New Roman" w:hAnsi="Times New Roman" w:eastAsia="仿宋_GB2312" w:cs="仿宋_GB2312"/>
          <w:b w:val="0"/>
          <w:bCs w:val="0"/>
          <w:color w:val="auto"/>
          <w:sz w:val="32"/>
          <w:szCs w:val="32"/>
          <w:highlight w:val="none"/>
        </w:rPr>
        <w:t>重污染天气应急管理绩效分级的重点行业企业实施提级改造，鼓励规模较大的非重点行业开展绩效评级。持续增补扩充应急减排清单，确保覆盖所有涉气企业。深化区域大气污染应急联动机制，依法依规完善应急响应措施。</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bCs/>
          <w:color w:val="auto"/>
          <w:sz w:val="32"/>
          <w:szCs w:val="32"/>
          <w:highlight w:val="none"/>
          <w:lang w:val="en-US" w:eastAsia="zh-CN"/>
        </w:rPr>
        <w:t>（二十四）强化区域联防联控机制。</w:t>
      </w:r>
      <w:r>
        <w:rPr>
          <w:rFonts w:hint="eastAsia" w:ascii="Times New Roman" w:hAnsi="Times New Roman" w:eastAsia="仿宋_GB2312" w:cs="仿宋_GB2312"/>
          <w:b w:val="0"/>
          <w:bCs w:val="0"/>
          <w:color w:val="auto"/>
          <w:kern w:val="2"/>
          <w:sz w:val="32"/>
          <w:szCs w:val="32"/>
          <w:highlight w:val="none"/>
          <w:lang w:val="en-US" w:eastAsia="zh-CN" w:bidi="ar-SA"/>
        </w:rPr>
        <w:t>积极配合建立完善长三角、苏鲁豫皖、淮海经济区大气污染联防联控机制，探索与</w:t>
      </w:r>
      <w:r>
        <w:rPr>
          <w:rFonts w:hint="eastAsia" w:ascii="Times New Roman" w:hAnsi="Times New Roman" w:eastAsia="仿宋_GB2312" w:cs="仿宋_GB2312"/>
          <w:color w:val="auto"/>
          <w:sz w:val="32"/>
          <w:szCs w:val="32"/>
          <w:highlight w:val="none"/>
        </w:rPr>
        <w:t>省内毗邻市、县（市、区）开展联防联控</w:t>
      </w:r>
      <w:r>
        <w:rPr>
          <w:rFonts w:hint="eastAsia" w:ascii="Times New Roman" w:hAnsi="Times New Roman" w:eastAsia="仿宋_GB2312" w:cs="仿宋_GB2312"/>
          <w:color w:val="auto"/>
          <w:sz w:val="32"/>
          <w:szCs w:val="32"/>
          <w:highlight w:val="none"/>
          <w:lang w:eastAsia="zh-CN"/>
        </w:rPr>
        <w:t>，推动交界地区联合交叉执法、预报会商、技术合作交流。</w:t>
      </w:r>
      <w:r>
        <w:rPr>
          <w:rFonts w:hint="eastAsia" w:ascii="Times New Roman" w:hAnsi="Times New Roman" w:eastAsia="仿宋_GB2312" w:cs="仿宋_GB2312"/>
          <w:color w:val="auto"/>
          <w:sz w:val="32"/>
          <w:szCs w:val="32"/>
          <w:highlight w:val="none"/>
        </w:rPr>
        <w:t>对省界两侧20公里内涉气重点行业新建项目，以及对下风向空气质量影响大的新建高架源项目，开展环评一致性会商</w:t>
      </w:r>
      <w:r>
        <w:rPr>
          <w:rFonts w:hint="eastAsia" w:ascii="Times New Roman" w:hAnsi="Times New Roman" w:eastAsia="仿宋_GB2312" w:cs="仿宋_GB2312"/>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sz w:val="32"/>
          <w:szCs w:val="32"/>
          <w:highlight w:val="none"/>
          <w:lang w:val="en-US" w:eastAsia="zh-CN"/>
        </w:rPr>
        <w:t>八、</w:t>
      </w:r>
      <w:r>
        <w:rPr>
          <w:rFonts w:hint="eastAsia" w:ascii="Times New Roman" w:hAnsi="Times New Roman" w:eastAsia="黑体" w:cs="黑体"/>
          <w:b w:val="0"/>
          <w:bCs w:val="0"/>
          <w:color w:val="auto"/>
          <w:sz w:val="32"/>
          <w:szCs w:val="32"/>
          <w:highlight w:val="none"/>
          <w:lang w:eastAsia="zh-CN"/>
        </w:rPr>
        <w:t>加强大气污染防治能力建设</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（二十五）加强监测预报预警能力建设。</w:t>
      </w:r>
      <w:r>
        <w:rPr>
          <w:rFonts w:hint="eastAsia" w:ascii="Times New Roman" w:hAnsi="Times New Roman" w:eastAsia="仿宋_GB2312" w:cs="仿宋_GB2312"/>
          <w:b w:val="0"/>
          <w:bCs w:val="0"/>
          <w:color w:val="auto"/>
          <w:sz w:val="32"/>
          <w:szCs w:val="32"/>
          <w:highlight w:val="none"/>
        </w:rPr>
        <w:t>完善城市空气质量自动监测网络，加强数据联网共享，实现县城全覆盖。</w:t>
      </w:r>
      <w:r>
        <w:rPr>
          <w:rFonts w:hint="eastAsia" w:ascii="Times New Roman" w:hAnsi="Times New Roman" w:eastAsia="仿宋_GB2312" w:cs="仿宋_GB2312"/>
          <w:b w:val="0"/>
          <w:bCs w:val="0"/>
          <w:color w:val="auto"/>
          <w:sz w:val="32"/>
          <w:szCs w:val="32"/>
          <w:highlight w:val="none"/>
          <w:lang w:eastAsia="zh-CN"/>
        </w:rPr>
        <w:t>适当</w:t>
      </w:r>
      <w:r>
        <w:rPr>
          <w:rFonts w:hint="eastAsia" w:ascii="Times New Roman" w:hAnsi="Times New Roman" w:eastAsia="仿宋_GB2312" w:cs="仿宋_GB2312"/>
          <w:b w:val="0"/>
          <w:bCs w:val="0"/>
          <w:color w:val="auto"/>
          <w:sz w:val="32"/>
          <w:szCs w:val="32"/>
          <w:highlight w:val="none"/>
        </w:rPr>
        <w:t>加密空气质量监测站点，加快构建大气环境智慧监管数字化治理体系。加强城市港口、铁路货场、物流园区、工业园区、产业集群、公路等大气环境监测。开展非甲烷总烃和挥发性有机物的自动监测以及光化学监测。继续开展颗粒物组分监测。</w:t>
      </w:r>
      <w:r>
        <w:rPr>
          <w:rFonts w:hint="eastAsia" w:eastAsia="仿宋_GB2312" w:cs="仿宋_GB2312"/>
          <w:b w:val="0"/>
          <w:bCs w:val="0"/>
          <w:color w:val="auto"/>
          <w:sz w:val="32"/>
          <w:szCs w:val="32"/>
          <w:highlight w:val="none"/>
          <w:lang w:eastAsia="zh-CN"/>
        </w:rPr>
        <w:t>充分利用</w:t>
      </w:r>
      <w:r>
        <w:rPr>
          <w:rFonts w:hint="eastAsia" w:ascii="Times New Roman" w:hAnsi="Times New Roman" w:eastAsia="仿宋_GB2312" w:cs="仿宋_GB2312"/>
          <w:b w:val="0"/>
          <w:bCs w:val="0"/>
          <w:color w:val="auto"/>
          <w:sz w:val="32"/>
          <w:szCs w:val="32"/>
          <w:highlight w:val="none"/>
        </w:rPr>
        <w:t>省级环境空气质量预报预警系统，提升空气质量预报预警能力。</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（二十六）加强监管执法能力建设。</w:t>
      </w:r>
      <w:r>
        <w:rPr>
          <w:rFonts w:hint="eastAsia" w:ascii="Times New Roman" w:hAnsi="Times New Roman" w:eastAsia="仿宋_GB2312" w:cs="仿宋_GB2312"/>
          <w:b w:val="0"/>
          <w:bCs w:val="0"/>
          <w:color w:val="auto"/>
          <w:sz w:val="32"/>
          <w:szCs w:val="32"/>
          <w:highlight w:val="none"/>
        </w:rPr>
        <w:t>健全完善以污染源自动监控“三个全覆盖”为核心的非现场监管执法体系，提升各级生态环境部门执法监测能力。加强重点领域监督执法，对参与弄虚作假的排污单位和第三方机构、人员依法追究责任，涉嫌犯罪的依法移送司法机关。生态环境部门定期更新大气环境重点排污单位名录。推动企业安装工况监控、用电（用能）监控、视频监控等。</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（二十七）加强科技支撑能力建设。</w:t>
      </w:r>
      <w:r>
        <w:rPr>
          <w:rFonts w:hint="eastAsia" w:ascii="Times New Roman" w:hAnsi="Times New Roman" w:eastAsia="仿宋_GB2312" w:cs="仿宋_GB2312"/>
          <w:color w:val="auto"/>
          <w:kern w:val="2"/>
          <w:sz w:val="32"/>
          <w:szCs w:val="32"/>
          <w:highlight w:val="none"/>
          <w:lang w:val="en-US" w:eastAsia="zh-CN" w:bidi="ar-SA"/>
        </w:rPr>
        <w:t>强化大气污染防治工作技术支撑，充分发挥好走航监测、无人机飞航等科技手段及数据应用，精准溯源、科学管控重点行业、重点区域排放源。</w:t>
      </w:r>
      <w:r>
        <w:rPr>
          <w:rFonts w:hint="eastAsia" w:ascii="Times New Roman" w:hAnsi="Times New Roman" w:eastAsia="仿宋_GB2312" w:cs="仿宋_GB2312"/>
          <w:b w:val="0"/>
          <w:bCs w:val="0"/>
          <w:color w:val="auto"/>
          <w:sz w:val="32"/>
          <w:szCs w:val="32"/>
          <w:highlight w:val="none"/>
        </w:rPr>
        <w:t>支持开展低浓度、大风量、中小型VOCs排放污染治理技术研究。支持分类型工业炉窑清洁能源替代和末端治理路径研究。开展VOCs排放污染治理、低温脱硝、氨逃逸精准调控等大气污染防治技术和装备研发。到2025年，完成排放清单编制，实现逐年更新。</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sz w:val="32"/>
          <w:szCs w:val="32"/>
          <w:highlight w:val="none"/>
          <w:lang w:eastAsia="zh-CN"/>
        </w:rPr>
        <w:t>九、完善生态环境法治和经济政策体系</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（二十八）严格落实法律法规和标准。</w:t>
      </w:r>
      <w:r>
        <w:rPr>
          <w:rFonts w:hint="eastAsia" w:ascii="Times New Roman" w:hAnsi="Times New Roman" w:eastAsia="仿宋_GB2312" w:cs="仿宋_GB2312"/>
          <w:b w:val="0"/>
          <w:bCs w:val="0"/>
          <w:color w:val="auto"/>
          <w:sz w:val="32"/>
          <w:szCs w:val="32"/>
          <w:highlight w:val="none"/>
        </w:rPr>
        <w:t>加强大气污染防治法治保障，严格实施大气污染防治法、清洁生产促进法和移动源污染防治管理办法，依法惩戒环境污染责任主体。落实VOCs含量限值强制性国家标准、低（无）VOCs含量产品标识制度、有机废气治理用活性炭技术要求。严格落实国家环境空气质量标准、铁路内燃机车污染物排放等强制性国家标准。及时开展相关法规、标准培训和宣传解读。</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楷体_GB2312" w:cs="楷体_GB2312"/>
          <w:b/>
          <w:bCs/>
          <w:color w:val="auto"/>
          <w:sz w:val="32"/>
          <w:szCs w:val="32"/>
          <w:highlight w:val="none"/>
          <w:lang w:val="en-US" w:eastAsia="zh-CN"/>
        </w:rPr>
        <w:t>（二十九）发挥价格税费政策激励约束作用。</w:t>
      </w:r>
      <w:r>
        <w:rPr>
          <w:rFonts w:hint="eastAsia" w:ascii="Times New Roman" w:hAnsi="Times New Roman" w:eastAsia="仿宋_GB2312" w:cs="仿宋_GB2312"/>
          <w:b w:val="0"/>
          <w:bCs w:val="0"/>
          <w:color w:val="auto"/>
          <w:sz w:val="32"/>
          <w:szCs w:val="32"/>
          <w:highlight w:val="none"/>
        </w:rPr>
        <w:t>完善峰谷分时电价政策，调整尖峰电价政策。落实高耗能行业差别电价政策，完善高耗能行业阶梯电价制度。继续对港口岸基两部制用电实施支持性电价政策，对港口货物装卸、港口设施服务、港口岸电运营商、机场岸基用电执行工商业单一制电价。鼓励对新能源城市公共汽电车充电给予积极支持。加强天然气管道短输价格定期校核，按照“准许成本+合理收益”原则，合理调整价格。加强城镇燃气配气价格监管，统一开展年度定期校核调整。建立完善天然气终端销售价格与采购价格联动机制。完善铁路运价调整机制，研究推行“一口价”收费政策。推广采用“量价互保”协议运输模式。完善建筑施工扬尘环境保护税征管机制，落实将VOCs纳入环境保护税征收范围的税制改革政策。</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楷体_GB2312" w:cs="楷体_GB2312"/>
          <w:b/>
          <w:bCs/>
          <w:color w:val="auto"/>
          <w:sz w:val="32"/>
          <w:szCs w:val="32"/>
          <w:highlight w:val="none"/>
          <w:lang w:val="en-US" w:eastAsia="zh-CN"/>
        </w:rPr>
        <w:t>（三十）加强财政金融政策引导。</w:t>
      </w:r>
      <w:r>
        <w:rPr>
          <w:rFonts w:hint="eastAsia" w:ascii="Times New Roman" w:hAnsi="Times New Roman" w:eastAsia="仿宋_GB2312" w:cs="仿宋_GB2312"/>
          <w:b w:val="0"/>
          <w:bCs w:val="0"/>
          <w:color w:val="auto"/>
          <w:sz w:val="32"/>
          <w:szCs w:val="32"/>
          <w:highlight w:val="none"/>
        </w:rPr>
        <w:t>积极争取中央</w:t>
      </w:r>
      <w:r>
        <w:rPr>
          <w:rFonts w:hint="eastAsia" w:ascii="Times New Roman" w:hAnsi="Times New Roman" w:eastAsia="仿宋_GB2312" w:cs="仿宋_GB2312"/>
          <w:b w:val="0"/>
          <w:bCs w:val="0"/>
          <w:color w:val="auto"/>
          <w:sz w:val="32"/>
          <w:szCs w:val="32"/>
          <w:highlight w:val="none"/>
          <w:lang w:eastAsia="zh-CN"/>
        </w:rPr>
        <w:t>、省</w:t>
      </w:r>
      <w:r>
        <w:rPr>
          <w:rFonts w:hint="eastAsia" w:ascii="Times New Roman" w:hAnsi="Times New Roman" w:eastAsia="仿宋_GB2312" w:cs="仿宋_GB2312"/>
          <w:b w:val="0"/>
          <w:bCs w:val="0"/>
          <w:color w:val="auto"/>
          <w:sz w:val="32"/>
          <w:szCs w:val="32"/>
          <w:highlight w:val="none"/>
        </w:rPr>
        <w:t>大气污染防治资金，</w:t>
      </w:r>
      <w:r>
        <w:rPr>
          <w:rFonts w:hint="eastAsia" w:ascii="Times New Roman" w:hAnsi="Times New Roman" w:eastAsia="仿宋_GB2312" w:cs="仿宋_GB2312"/>
          <w:b w:val="0"/>
          <w:bCs w:val="0"/>
          <w:color w:val="auto"/>
          <w:sz w:val="32"/>
          <w:szCs w:val="32"/>
          <w:highlight w:val="none"/>
          <w:lang w:eastAsia="zh-CN"/>
        </w:rPr>
        <w:t>大力谋划推动</w:t>
      </w:r>
      <w:r>
        <w:rPr>
          <w:rFonts w:hint="eastAsia" w:ascii="Times New Roman" w:hAnsi="Times New Roman" w:eastAsia="仿宋_GB2312" w:cs="仿宋_GB2312"/>
          <w:b w:val="0"/>
          <w:bCs w:val="0"/>
          <w:color w:val="auto"/>
          <w:sz w:val="32"/>
          <w:szCs w:val="32"/>
          <w:highlight w:val="none"/>
        </w:rPr>
        <w:t>减污降碳协同项目。落实好货币信贷政策，引导金融机构加大对传统产业及集群升级、工业污染治理、铁路专用线建设、新能源铁路装备推广等领域信贷融资支持力度。按要求开展银行业金融机构绿色金融业绩评价，有序做好绿色金融综合评价试点，加强评价结果运用。引导地方法人金融机构发行绿色金融债券，提高对绿色产业的信贷支持力度。</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eastAsia="zh-CN"/>
        </w:rPr>
        <w:t>十</w:t>
      </w:r>
      <w:r>
        <w:rPr>
          <w:rFonts w:hint="eastAsia" w:ascii="Times New Roman" w:hAnsi="Times New Roman" w:eastAsia="黑体" w:cs="黑体"/>
          <w:b w:val="0"/>
          <w:bCs w:val="0"/>
          <w:color w:val="auto"/>
          <w:sz w:val="32"/>
          <w:szCs w:val="32"/>
          <w:highlight w:val="none"/>
        </w:rPr>
        <w:t>、</w:t>
      </w:r>
      <w:r>
        <w:rPr>
          <w:rFonts w:hint="eastAsia" w:ascii="Times New Roman" w:hAnsi="Times New Roman" w:eastAsia="黑体" w:cs="黑体"/>
          <w:b w:val="0"/>
          <w:bCs w:val="0"/>
          <w:color w:val="auto"/>
          <w:sz w:val="32"/>
          <w:szCs w:val="32"/>
          <w:highlight w:val="none"/>
          <w:lang w:eastAsia="zh-CN"/>
        </w:rPr>
        <w:t>强化保障</w:t>
      </w:r>
      <w:r>
        <w:rPr>
          <w:rFonts w:hint="eastAsia" w:ascii="Times New Roman" w:hAnsi="Times New Roman" w:eastAsia="黑体" w:cs="黑体"/>
          <w:b w:val="0"/>
          <w:bCs w:val="0"/>
          <w:color w:val="auto"/>
          <w:sz w:val="32"/>
          <w:szCs w:val="32"/>
          <w:highlight w:val="none"/>
          <w:lang w:val="en-US" w:eastAsia="zh-CN"/>
        </w:rPr>
        <w:t>措施</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80" w:lineRule="exact"/>
        <w:ind w:left="0" w:leftChars="0" w:firstLine="643"/>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kern w:val="2"/>
          <w:sz w:val="32"/>
          <w:szCs w:val="32"/>
          <w:highlight w:val="none"/>
          <w:lang w:val="en-US" w:eastAsia="zh-CN" w:bidi="ar-SA"/>
        </w:rPr>
        <w:t>（三十一）加强组织领导。</w:t>
      </w:r>
      <w:r>
        <w:rPr>
          <w:rFonts w:hint="eastAsia" w:ascii="Times New Roman" w:hAnsi="Times New Roman" w:eastAsia="仿宋_GB2312" w:cs="仿宋_GB2312"/>
          <w:color w:val="auto"/>
          <w:sz w:val="32"/>
          <w:szCs w:val="32"/>
          <w:highlight w:val="none"/>
        </w:rPr>
        <w:t>坚持和加强党对大气污染防治工作的全面领导。</w:t>
      </w:r>
      <w:r>
        <w:rPr>
          <w:rFonts w:hint="eastAsia" w:eastAsia="仿宋_GB2312" w:cs="仿宋_GB2312"/>
          <w:color w:val="auto"/>
          <w:sz w:val="32"/>
          <w:szCs w:val="32"/>
          <w:highlight w:val="none"/>
          <w:lang w:eastAsia="zh-CN"/>
        </w:rPr>
        <w:t>各县区人民政府</w:t>
      </w:r>
      <w:r>
        <w:rPr>
          <w:rFonts w:hint="eastAsia" w:ascii="Times New Roman" w:hAnsi="Times New Roman" w:eastAsia="仿宋_GB2312" w:cs="仿宋_GB2312"/>
          <w:color w:val="auto"/>
          <w:sz w:val="32"/>
          <w:szCs w:val="32"/>
          <w:highlight w:val="none"/>
        </w:rPr>
        <w:t>依法落实本行政区域内大气环境质量的主体责任，</w:t>
      </w:r>
      <w:r>
        <w:rPr>
          <w:rFonts w:hint="eastAsia" w:ascii="Times New Roman" w:hAnsi="Times New Roman" w:eastAsia="仿宋_GB2312" w:cs="仿宋_GB2312"/>
          <w:b w:val="0"/>
          <w:bCs w:val="0"/>
          <w:color w:val="auto"/>
          <w:kern w:val="2"/>
          <w:sz w:val="32"/>
          <w:szCs w:val="32"/>
          <w:highlight w:val="none"/>
          <w:lang w:val="en-US" w:eastAsia="zh-CN" w:bidi="ar-SA"/>
        </w:rPr>
        <w:t>全面落实“党政同责”“一岗双责”，</w:t>
      </w:r>
      <w:r>
        <w:rPr>
          <w:rFonts w:hint="eastAsia" w:ascii="Times New Roman" w:hAnsi="Times New Roman" w:eastAsia="仿宋_GB2312" w:cs="仿宋_GB2312"/>
          <w:color w:val="auto"/>
          <w:sz w:val="32"/>
          <w:szCs w:val="32"/>
          <w:highlight w:val="none"/>
        </w:rPr>
        <w:t>加强统筹协调，抓实抓细各项工作，完成省下达的空气质量改善目标任务。</w:t>
      </w:r>
      <w:r>
        <w:rPr>
          <w:rFonts w:hint="eastAsia" w:ascii="Times New Roman" w:hAnsi="Times New Roman" w:eastAsia="仿宋_GB2312" w:cs="仿宋_GB2312"/>
          <w:color w:val="auto"/>
          <w:sz w:val="32"/>
          <w:szCs w:val="32"/>
          <w:highlight w:val="none"/>
          <w:lang w:eastAsia="zh-CN"/>
        </w:rPr>
        <w:t>市环委办</w:t>
      </w:r>
      <w:r>
        <w:rPr>
          <w:rFonts w:hint="eastAsia" w:ascii="Times New Roman" w:hAnsi="Times New Roman" w:eastAsia="仿宋_GB2312" w:cs="仿宋_GB2312"/>
          <w:color w:val="auto"/>
          <w:sz w:val="32"/>
          <w:szCs w:val="32"/>
          <w:highlight w:val="none"/>
        </w:rPr>
        <w:t>要加强统筹协调，做好调度评估。</w:t>
      </w:r>
      <w:r>
        <w:rPr>
          <w:rFonts w:hint="eastAsia" w:ascii="Times New Roman" w:hAnsi="Times New Roman" w:eastAsia="仿宋_GB2312" w:cs="仿宋_GB2312"/>
          <w:color w:val="auto"/>
          <w:sz w:val="32"/>
          <w:szCs w:val="32"/>
          <w:highlight w:val="none"/>
          <w:lang w:eastAsia="zh-CN"/>
        </w:rPr>
        <w:t>市</w:t>
      </w:r>
      <w:r>
        <w:rPr>
          <w:rFonts w:hint="eastAsia" w:ascii="Times New Roman" w:hAnsi="Times New Roman" w:eastAsia="仿宋_GB2312" w:cs="仿宋_GB2312"/>
          <w:color w:val="auto"/>
          <w:sz w:val="32"/>
          <w:szCs w:val="32"/>
          <w:highlight w:val="none"/>
        </w:rPr>
        <w:t>有关部门要协同配合落实任务分工，出台政策时统筹考虑空气质量持续改善需求。</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80" w:lineRule="exact"/>
        <w:ind w:left="0" w:leftChars="0" w:firstLine="643"/>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kern w:val="2"/>
          <w:sz w:val="32"/>
          <w:szCs w:val="32"/>
          <w:highlight w:val="none"/>
          <w:lang w:val="en-US" w:eastAsia="zh-CN" w:bidi="ar-SA"/>
        </w:rPr>
        <w:t>（三十二）严格考核监督。</w:t>
      </w:r>
      <w:r>
        <w:rPr>
          <w:rFonts w:hint="eastAsia" w:ascii="Times New Roman" w:hAnsi="Times New Roman" w:eastAsia="仿宋_GB2312" w:cs="仿宋_GB2312"/>
          <w:color w:val="auto"/>
          <w:sz w:val="32"/>
          <w:szCs w:val="32"/>
          <w:highlight w:val="none"/>
        </w:rPr>
        <w:t>将空气质量改善目标完成情况作为深入打好污染防治攻坚战成效考核的重要内容。</w:t>
      </w:r>
      <w:r>
        <w:rPr>
          <w:rFonts w:hint="eastAsia" w:ascii="Times New Roman" w:hAnsi="Times New Roman" w:eastAsia="仿宋_GB2312" w:cs="仿宋_GB2312"/>
          <w:color w:val="auto"/>
          <w:sz w:val="32"/>
          <w:szCs w:val="32"/>
          <w:highlight w:val="none"/>
          <w:lang w:eastAsia="zh-CN"/>
        </w:rPr>
        <w:t>继续实施环境空气质量生态补偿，奖优罚劣。实施量化考核，</w:t>
      </w:r>
      <w:r>
        <w:rPr>
          <w:rFonts w:hint="eastAsia" w:ascii="Times New Roman" w:hAnsi="Times New Roman" w:eastAsia="仿宋_GB2312" w:cs="仿宋_GB2312"/>
          <w:color w:val="auto"/>
          <w:sz w:val="32"/>
          <w:szCs w:val="32"/>
          <w:highlight w:val="none"/>
        </w:rPr>
        <w:t>对问题突出的</w:t>
      </w:r>
      <w:r>
        <w:rPr>
          <w:rFonts w:hint="eastAsia" w:ascii="Times New Roman" w:hAnsi="Times New Roman"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进行分级分类约谈，并加强监督帮扶</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（三十三）强化信息公开。</w:t>
      </w:r>
      <w:r>
        <w:rPr>
          <w:rFonts w:hint="eastAsia" w:ascii="Times New Roman" w:hAnsi="Times New Roman" w:eastAsia="仿宋_GB2312" w:cs="仿宋_GB2312"/>
          <w:color w:val="auto"/>
          <w:sz w:val="32"/>
          <w:szCs w:val="32"/>
          <w:highlight w:val="none"/>
        </w:rPr>
        <w:t>加大环境空气质量信息公开力度。将排污单位和第三方治理、运维、检测机构弄虚作假行为纳入信用记录，推送至全国信用信息共享平台（</w:t>
      </w:r>
      <w:r>
        <w:rPr>
          <w:rFonts w:hint="eastAsia" w:ascii="Times New Roman" w:hAnsi="Times New Roman" w:eastAsia="仿宋_GB2312" w:cs="仿宋_GB2312"/>
          <w:color w:val="auto"/>
          <w:sz w:val="32"/>
          <w:szCs w:val="32"/>
          <w:highlight w:val="none"/>
          <w:lang w:eastAsia="zh-CN"/>
        </w:rPr>
        <w:t>淮北</w:t>
      </w:r>
      <w:r>
        <w:rPr>
          <w:rFonts w:hint="eastAsia" w:ascii="Times New Roman" w:hAnsi="Times New Roman" w:eastAsia="仿宋_GB2312" w:cs="仿宋_GB2312"/>
          <w:color w:val="auto"/>
          <w:sz w:val="32"/>
          <w:szCs w:val="32"/>
          <w:highlight w:val="none"/>
        </w:rPr>
        <w:t>），定期依法向社会公布。重点排污单位及时公布自行监测和污染排放数据、污染治理措施、环保违法处罚及整改等信息。推动老旧高污染车辆、机动车排放检验等信息共享。</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lang w:val="en-US" w:eastAsia="zh-CN"/>
        </w:rPr>
        <w:t>（三十四）注重宣传引导。</w:t>
      </w:r>
      <w:r>
        <w:rPr>
          <w:rFonts w:hint="eastAsia" w:ascii="Times New Roman" w:hAnsi="Times New Roman" w:eastAsia="仿宋_GB2312" w:cs="仿宋_GB2312"/>
          <w:color w:val="auto"/>
          <w:sz w:val="32"/>
          <w:szCs w:val="32"/>
          <w:highlight w:val="none"/>
        </w:rPr>
        <w:t>普及大气环境与健康基本理念和知识，广泛宣传《公民生态环境行为规范十条》，提升公民大气环境保护意识与素养。加快建设碳普惠制度体系，动员社会各界积极参与大气环境保护。完善公众监督和有奖举报机制，鼓励公众积极提供环境违法行为线索。党政机关带头加大绿色低碳产品采购力度，积极推广应用环境标志产品和绿色产品。国有企业要带头实施绿色生产，深入推进治污减排。</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仿宋_GB2312"/>
          <w:sz w:val="32"/>
          <w:szCs w:val="32"/>
          <w:lang w:eastAsia="zh-CN"/>
        </w:rPr>
        <w:t>附件：重点工作任务清单</w:t>
      </w:r>
    </w:p>
    <w:p>
      <w:pPr>
        <w:spacing w:line="500" w:lineRule="exact"/>
        <w:rPr>
          <w:rFonts w:hint="eastAsia" w:ascii="方正黑体_GBK" w:eastAsia="方正黑体_GBK"/>
          <w:sz w:val="32"/>
          <w:szCs w:val="32"/>
        </w:rPr>
      </w:pPr>
      <w:r>
        <w:rPr>
          <w:rFonts w:hint="eastAsia" w:ascii="方正黑体_GBK" w:eastAsia="方正黑体_GBK"/>
          <w:sz w:val="32"/>
          <w:szCs w:val="32"/>
        </w:rPr>
        <w:t>附件</w:t>
      </w:r>
    </w:p>
    <w:p>
      <w:pPr>
        <w:spacing w:before="240" w:beforeLines="100" w:after="240" w:afterLines="100" w:line="590" w:lineRule="exact"/>
        <w:jc w:val="center"/>
        <w:rPr>
          <w:rFonts w:hint="eastAsia" w:ascii="方正小标宋_GBK" w:eastAsia="方正小标宋_GBK"/>
          <w:sz w:val="44"/>
          <w:szCs w:val="44"/>
        </w:rPr>
      </w:pPr>
      <w:r>
        <w:rPr>
          <w:rFonts w:hint="eastAsia" w:ascii="方正小标宋_GBK" w:eastAsia="方正小标宋_GBK"/>
          <w:sz w:val="44"/>
          <w:szCs w:val="44"/>
        </w:rPr>
        <w:t>重点工作任务清单</w:t>
      </w:r>
    </w:p>
    <w:tbl>
      <w:tblPr>
        <w:tblStyle w:val="6"/>
        <w:tblW w:w="140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94"/>
        <w:gridCol w:w="2590"/>
        <w:gridCol w:w="5065"/>
        <w:gridCol w:w="1169"/>
        <w:gridCol w:w="2264"/>
        <w:gridCol w:w="6"/>
        <w:gridCol w:w="22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tblHeader/>
          <w:jc w:val="center"/>
        </w:trPr>
        <w:tc>
          <w:tcPr>
            <w:tcW w:w="694" w:type="dxa"/>
            <w:noWrap/>
            <w:vAlign w:val="center"/>
          </w:tcPr>
          <w:p>
            <w:pPr>
              <w:adjustRightInd w:val="0"/>
              <w:snapToGrid w:val="0"/>
              <w:spacing w:line="400" w:lineRule="exact"/>
              <w:jc w:val="center"/>
              <w:rPr>
                <w:rFonts w:hint="eastAsia" w:ascii="方正黑体_GBK" w:eastAsia="方正黑体_GBK"/>
                <w:sz w:val="24"/>
              </w:rPr>
            </w:pPr>
            <w:r>
              <w:rPr>
                <w:rFonts w:hint="eastAsia" w:ascii="方正黑体_GBK" w:eastAsia="方正黑体_GBK"/>
                <w:sz w:val="24"/>
              </w:rPr>
              <w:t>序号</w:t>
            </w:r>
          </w:p>
        </w:tc>
        <w:tc>
          <w:tcPr>
            <w:tcW w:w="2590" w:type="dxa"/>
            <w:noWrap/>
            <w:vAlign w:val="center"/>
          </w:tcPr>
          <w:p>
            <w:pPr>
              <w:adjustRightInd w:val="0"/>
              <w:snapToGrid w:val="0"/>
              <w:spacing w:line="400" w:lineRule="exact"/>
              <w:jc w:val="center"/>
              <w:rPr>
                <w:rFonts w:hint="eastAsia" w:ascii="方正黑体_GBK" w:eastAsia="方正黑体_GBK"/>
                <w:sz w:val="24"/>
              </w:rPr>
            </w:pPr>
            <w:r>
              <w:rPr>
                <w:rFonts w:hint="eastAsia" w:ascii="方正黑体_GBK" w:eastAsia="方正黑体_GBK"/>
                <w:sz w:val="24"/>
              </w:rPr>
              <w:t>重点工作任务</w:t>
            </w:r>
          </w:p>
        </w:tc>
        <w:tc>
          <w:tcPr>
            <w:tcW w:w="5065" w:type="dxa"/>
            <w:noWrap/>
            <w:vAlign w:val="center"/>
          </w:tcPr>
          <w:p>
            <w:pPr>
              <w:adjustRightInd w:val="0"/>
              <w:snapToGrid w:val="0"/>
              <w:spacing w:line="400" w:lineRule="exact"/>
              <w:jc w:val="center"/>
              <w:rPr>
                <w:rFonts w:hint="eastAsia" w:ascii="方正黑体_GBK" w:eastAsia="方正黑体_GBK"/>
                <w:sz w:val="24"/>
              </w:rPr>
            </w:pPr>
            <w:r>
              <w:rPr>
                <w:rFonts w:hint="eastAsia" w:ascii="方正黑体_GBK" w:eastAsia="方正黑体_GBK"/>
                <w:sz w:val="24"/>
              </w:rPr>
              <w:t>推  进  举  措</w:t>
            </w:r>
          </w:p>
        </w:tc>
        <w:tc>
          <w:tcPr>
            <w:tcW w:w="1169" w:type="dxa"/>
            <w:noWrap/>
            <w:vAlign w:val="center"/>
          </w:tcPr>
          <w:p>
            <w:pPr>
              <w:adjustRightInd w:val="0"/>
              <w:snapToGrid w:val="0"/>
              <w:spacing w:line="400" w:lineRule="exact"/>
              <w:jc w:val="center"/>
              <w:rPr>
                <w:rFonts w:hint="eastAsia" w:ascii="方正黑体_GBK" w:eastAsia="方正黑体_GBK"/>
                <w:sz w:val="24"/>
              </w:rPr>
            </w:pPr>
            <w:r>
              <w:rPr>
                <w:rFonts w:hint="eastAsia" w:ascii="方正黑体_GBK" w:eastAsia="方正黑体_GBK"/>
                <w:sz w:val="24"/>
              </w:rPr>
              <w:t>完成时限</w:t>
            </w:r>
          </w:p>
        </w:tc>
        <w:tc>
          <w:tcPr>
            <w:tcW w:w="2264" w:type="dxa"/>
            <w:noWrap/>
            <w:vAlign w:val="center"/>
          </w:tcPr>
          <w:p>
            <w:pPr>
              <w:adjustRightInd w:val="0"/>
              <w:snapToGrid w:val="0"/>
              <w:spacing w:line="400" w:lineRule="exact"/>
              <w:jc w:val="center"/>
              <w:rPr>
                <w:rFonts w:hint="eastAsia" w:ascii="方正黑体_GBK" w:eastAsia="方正黑体_GBK"/>
                <w:sz w:val="24"/>
              </w:rPr>
            </w:pPr>
            <w:r>
              <w:rPr>
                <w:rFonts w:hint="eastAsia" w:ascii="方正黑体_GBK" w:eastAsia="方正黑体_GBK"/>
                <w:sz w:val="24"/>
              </w:rPr>
              <w:t>牵头单位</w:t>
            </w:r>
          </w:p>
        </w:tc>
        <w:tc>
          <w:tcPr>
            <w:tcW w:w="2276" w:type="dxa"/>
            <w:gridSpan w:val="2"/>
            <w:noWrap/>
            <w:vAlign w:val="center"/>
          </w:tcPr>
          <w:p>
            <w:pPr>
              <w:adjustRightInd w:val="0"/>
              <w:snapToGrid w:val="0"/>
              <w:spacing w:line="400" w:lineRule="exact"/>
              <w:jc w:val="center"/>
              <w:rPr>
                <w:rFonts w:hint="eastAsia" w:ascii="方正黑体_GBK" w:eastAsia="方正黑体_GBK"/>
                <w:sz w:val="24"/>
              </w:rPr>
            </w:pPr>
            <w:r>
              <w:rPr>
                <w:rFonts w:hint="eastAsia" w:ascii="方正黑体_GBK" w:eastAsia="方正黑体_GBK"/>
                <w:sz w:val="24"/>
              </w:rPr>
              <w:t>参与单位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（一）坚决遏制高耗能、高排放、低水平项目盲目上马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9"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w:t>
            </w:r>
          </w:p>
        </w:tc>
        <w:tc>
          <w:tcPr>
            <w:tcW w:w="2590" w:type="dxa"/>
            <w:vMerge w:val="restart"/>
            <w:noWrap/>
            <w:vAlign w:val="center"/>
          </w:tcPr>
          <w:p>
            <w:pPr>
              <w:adjustRightInd w:val="0"/>
              <w:snapToGrid w:val="0"/>
              <w:spacing w:line="400" w:lineRule="exact"/>
              <w:rPr>
                <w:rFonts w:hint="eastAsia"/>
                <w:sz w:val="24"/>
              </w:rPr>
            </w:pPr>
            <w:r>
              <w:rPr>
                <w:rFonts w:hint="eastAsia"/>
                <w:sz w:val="24"/>
              </w:rPr>
              <w:t>新改扩建项目严格落实国家产业政策要求，严把“两高”项目审批。</w:t>
            </w:r>
          </w:p>
        </w:tc>
        <w:tc>
          <w:tcPr>
            <w:tcW w:w="5065" w:type="dxa"/>
            <w:noWrap/>
            <w:vAlign w:val="center"/>
          </w:tcPr>
          <w:p>
            <w:pPr>
              <w:adjustRightInd w:val="0"/>
              <w:snapToGrid w:val="0"/>
              <w:spacing w:line="400" w:lineRule="exact"/>
              <w:rPr>
                <w:rFonts w:hint="eastAsia"/>
                <w:sz w:val="24"/>
              </w:rPr>
            </w:pPr>
            <w:r>
              <w:rPr>
                <w:rFonts w:hint="eastAsia"/>
                <w:sz w:val="24"/>
              </w:rPr>
              <w:t>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严格论证项目建设必要性、可行性，推动行业集约发展和绿色转型。</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r>
              <w:rPr>
                <w:rFonts w:hint="eastAsia"/>
                <w:sz w:val="24"/>
                <w:lang w:eastAsia="zh-CN"/>
              </w:rPr>
              <w:t>市工业和信息化局</w:t>
            </w:r>
            <w:r>
              <w:rPr>
                <w:rFonts w:hint="eastAsia"/>
                <w:sz w:val="24"/>
              </w:rPr>
              <w:t>、</w:t>
            </w:r>
            <w:r>
              <w:rPr>
                <w:rFonts w:hint="eastAsia"/>
                <w:sz w:val="24"/>
                <w:lang w:eastAsia="zh-CN"/>
              </w:rPr>
              <w:t>市交通运输局</w:t>
            </w:r>
            <w:r>
              <w:rPr>
                <w:rFonts w:hint="eastAsia"/>
                <w:sz w:val="24"/>
              </w:rPr>
              <w:t>，各</w:t>
            </w:r>
            <w:r>
              <w:rPr>
                <w:rFonts w:hint="eastAsia"/>
                <w:sz w:val="24"/>
                <w:lang w:eastAsia="zh-CN"/>
              </w:rPr>
              <w:t>县区</w:t>
            </w:r>
            <w:r>
              <w:rPr>
                <w:rFonts w:hint="eastAsia"/>
                <w:sz w:val="24"/>
              </w:rPr>
              <w:t>人民政府（以下均需</w:t>
            </w:r>
            <w:r>
              <w:rPr>
                <w:rFonts w:hint="eastAsia"/>
                <w:sz w:val="24"/>
                <w:lang w:eastAsia="zh-CN"/>
              </w:rPr>
              <w:t>县区</w:t>
            </w:r>
            <w:r>
              <w:rPr>
                <w:rFonts w:hint="eastAsia"/>
                <w:sz w:val="24"/>
              </w:rPr>
              <w:t>人民政府组织落实，不再一一列出）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83"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制定安徽省关于加强生态环境分区管控的实施方案。</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4"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w:t>
            </w:r>
          </w:p>
        </w:tc>
        <w:tc>
          <w:tcPr>
            <w:tcW w:w="2590" w:type="dxa"/>
            <w:vMerge w:val="restart"/>
            <w:noWrap/>
            <w:vAlign w:val="center"/>
          </w:tcPr>
          <w:p>
            <w:pPr>
              <w:adjustRightInd w:val="0"/>
              <w:snapToGrid w:val="0"/>
              <w:spacing w:line="400" w:lineRule="exact"/>
              <w:rPr>
                <w:rFonts w:hint="eastAsia"/>
                <w:sz w:val="24"/>
              </w:rPr>
            </w:pPr>
            <w:r>
              <w:rPr>
                <w:rFonts w:hint="eastAsia"/>
                <w:sz w:val="24"/>
              </w:rPr>
              <w:t>严格落实产能置换要求。</w:t>
            </w:r>
          </w:p>
        </w:tc>
        <w:tc>
          <w:tcPr>
            <w:tcW w:w="5065" w:type="dxa"/>
            <w:noWrap/>
            <w:vAlign w:val="center"/>
          </w:tcPr>
          <w:p>
            <w:pPr>
              <w:adjustRightInd w:val="0"/>
              <w:snapToGrid w:val="0"/>
              <w:spacing w:line="400" w:lineRule="exact"/>
              <w:rPr>
                <w:rFonts w:hint="eastAsia"/>
                <w:sz w:val="24"/>
              </w:rPr>
            </w:pPr>
            <w:r>
              <w:rPr>
                <w:rFonts w:hint="eastAsia"/>
                <w:sz w:val="24"/>
              </w:rPr>
              <w:t>推动产能过剩行业减量发展、优化布局。不以任何名义、任何方式核准、备案产能严重过剩行业新增产能项目。</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r>
              <w:rPr>
                <w:rFonts w:hint="eastAsia"/>
                <w:sz w:val="24"/>
              </w:rPr>
              <w:t>、</w:t>
            </w:r>
            <w:r>
              <w:rPr>
                <w:rFonts w:hint="eastAsia"/>
                <w:sz w:val="24"/>
                <w:lang w:eastAsia="zh-CN"/>
              </w:rPr>
              <w:t>市工业和信息化局</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6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被置换产能及其配套设施关停后，新建项目方可投产。</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（二）有序推动落后产能淘汰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22"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3</w:t>
            </w:r>
          </w:p>
        </w:tc>
        <w:tc>
          <w:tcPr>
            <w:tcW w:w="2590" w:type="dxa"/>
            <w:noWrap/>
            <w:vAlign w:val="center"/>
          </w:tcPr>
          <w:p>
            <w:pPr>
              <w:adjustRightInd w:val="0"/>
              <w:snapToGrid w:val="0"/>
              <w:spacing w:line="400" w:lineRule="exact"/>
              <w:rPr>
                <w:rFonts w:hint="eastAsia"/>
                <w:sz w:val="24"/>
              </w:rPr>
            </w:pPr>
            <w:r>
              <w:rPr>
                <w:rFonts w:hint="eastAsia"/>
                <w:sz w:val="24"/>
              </w:rPr>
              <w:t>严格执行《产业结构调整指导目录》。</w:t>
            </w:r>
          </w:p>
        </w:tc>
        <w:tc>
          <w:tcPr>
            <w:tcW w:w="5065" w:type="dxa"/>
            <w:noWrap/>
            <w:vAlign w:val="center"/>
          </w:tcPr>
          <w:p>
            <w:pPr>
              <w:adjustRightInd w:val="0"/>
              <w:snapToGrid w:val="0"/>
              <w:spacing w:line="400" w:lineRule="exact"/>
              <w:rPr>
                <w:rFonts w:hint="eastAsia"/>
                <w:sz w:val="24"/>
              </w:rPr>
            </w:pPr>
            <w:r>
              <w:rPr>
                <w:rFonts w:hint="eastAsia"/>
                <w:sz w:val="24"/>
              </w:rPr>
              <w:t>按照国家产业结构调整指导目录，适时将污染物或温室气体排放明显高出行业平均水平、能效和清洁生产水平低的工艺和装备纳入淘汰类和限制类名单。</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r>
              <w:rPr>
                <w:rFonts w:hint="eastAsia"/>
                <w:sz w:val="24"/>
              </w:rPr>
              <w:t>、</w:t>
            </w:r>
            <w:r>
              <w:rPr>
                <w:rFonts w:hint="eastAsia"/>
                <w:sz w:val="24"/>
                <w:lang w:eastAsia="zh-CN"/>
              </w:rPr>
              <w:t>市生态环境局</w:t>
            </w:r>
            <w:r>
              <w:rPr>
                <w:rFonts w:hint="eastAsia"/>
                <w:sz w:val="24"/>
              </w:rPr>
              <w:t>、</w:t>
            </w:r>
            <w:r>
              <w:rPr>
                <w:rFonts w:hint="eastAsia"/>
                <w:sz w:val="24"/>
                <w:lang w:eastAsia="zh-CN"/>
              </w:rPr>
              <w:t>市市场监管局</w:t>
            </w:r>
            <w:r>
              <w:rPr>
                <w:rFonts w:hint="eastAsia"/>
                <w:sz w:val="24"/>
              </w:rPr>
              <w:t>、</w:t>
            </w:r>
            <w:r>
              <w:rPr>
                <w:rFonts w:hint="eastAsia"/>
                <w:sz w:val="24"/>
                <w:lang w:eastAsia="zh-CN"/>
              </w:rPr>
              <w:t>市应急管理局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30"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4</w:t>
            </w:r>
          </w:p>
        </w:tc>
        <w:tc>
          <w:tcPr>
            <w:tcW w:w="2590" w:type="dxa"/>
            <w:vMerge w:val="restart"/>
            <w:noWrap/>
            <w:vAlign w:val="center"/>
          </w:tcPr>
          <w:p>
            <w:pPr>
              <w:adjustRightInd w:val="0"/>
              <w:snapToGrid w:val="0"/>
              <w:spacing w:line="400" w:lineRule="exact"/>
              <w:rPr>
                <w:rFonts w:hint="eastAsia"/>
                <w:sz w:val="24"/>
              </w:rPr>
            </w:pPr>
            <w:r>
              <w:rPr>
                <w:rFonts w:hint="eastAsia"/>
                <w:sz w:val="24"/>
              </w:rPr>
              <w:t>依法依规推动落后产能退出。</w:t>
            </w:r>
          </w:p>
        </w:tc>
        <w:tc>
          <w:tcPr>
            <w:tcW w:w="5065" w:type="dxa"/>
            <w:noWrap/>
            <w:vAlign w:val="center"/>
          </w:tcPr>
          <w:p>
            <w:pPr>
              <w:adjustRightInd w:val="0"/>
              <w:snapToGrid w:val="0"/>
              <w:spacing w:line="400" w:lineRule="exact"/>
              <w:rPr>
                <w:rFonts w:hint="eastAsia"/>
                <w:sz w:val="24"/>
              </w:rPr>
            </w:pPr>
            <w:r>
              <w:rPr>
                <w:rFonts w:hint="eastAsia"/>
                <w:sz w:val="24"/>
              </w:rPr>
              <w:t>综合运用能耗、环保、质量、安全、技术等要求，推动落后产能退出，逐步退出限制类涉气行业工艺和装备。</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r>
              <w:rPr>
                <w:rFonts w:hint="eastAsia"/>
                <w:sz w:val="24"/>
              </w:rPr>
              <w:t>、</w:t>
            </w:r>
            <w:r>
              <w:rPr>
                <w:rFonts w:hint="eastAsia"/>
                <w:sz w:val="24"/>
                <w:lang w:eastAsia="zh-CN"/>
              </w:rPr>
              <w:t>市应急管理局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86"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color w:val="FF0000"/>
                <w:sz w:val="24"/>
              </w:rPr>
            </w:pPr>
            <w:r>
              <w:rPr>
                <w:rFonts w:hint="eastAsia"/>
                <w:color w:val="FF0000"/>
                <w:sz w:val="24"/>
              </w:rPr>
              <w:t>严把工业产品生产许可关，企业申请工业产品生产许可证，应当符合国家产业政策的规定，不符合规定的企业不予许可。</w:t>
            </w:r>
          </w:p>
        </w:tc>
        <w:tc>
          <w:tcPr>
            <w:tcW w:w="1169" w:type="dxa"/>
            <w:noWrap/>
            <w:vAlign w:val="center"/>
          </w:tcPr>
          <w:p>
            <w:pPr>
              <w:adjustRightInd w:val="0"/>
              <w:snapToGrid w:val="0"/>
              <w:spacing w:line="400" w:lineRule="exact"/>
              <w:jc w:val="center"/>
              <w:rPr>
                <w:rFonts w:hint="eastAsia"/>
                <w:color w:val="FF0000"/>
                <w:sz w:val="24"/>
              </w:rPr>
            </w:pPr>
            <w:r>
              <w:rPr>
                <w:rFonts w:hint="eastAsia"/>
                <w:color w:val="FF0000"/>
                <w:sz w:val="24"/>
              </w:rPr>
              <w:t>持续推进</w:t>
            </w:r>
          </w:p>
        </w:tc>
        <w:tc>
          <w:tcPr>
            <w:tcW w:w="2264" w:type="dxa"/>
            <w:noWrap/>
            <w:vAlign w:val="center"/>
          </w:tcPr>
          <w:p>
            <w:pPr>
              <w:adjustRightInd w:val="0"/>
              <w:snapToGrid w:val="0"/>
              <w:spacing w:line="400" w:lineRule="exact"/>
              <w:rPr>
                <w:rFonts w:hint="eastAsia" w:eastAsia="宋体"/>
                <w:color w:val="FF0000"/>
                <w:sz w:val="24"/>
                <w:lang w:eastAsia="zh-CN"/>
              </w:rPr>
            </w:pPr>
            <w:r>
              <w:rPr>
                <w:rFonts w:hint="eastAsia"/>
                <w:color w:val="FF0000"/>
                <w:sz w:val="24"/>
                <w:lang w:eastAsia="zh-CN"/>
              </w:rPr>
              <w:t>市市场监管局</w:t>
            </w:r>
          </w:p>
        </w:tc>
        <w:tc>
          <w:tcPr>
            <w:tcW w:w="2276" w:type="dxa"/>
            <w:gridSpan w:val="2"/>
            <w:noWrap/>
            <w:vAlign w:val="center"/>
          </w:tcPr>
          <w:p>
            <w:pPr>
              <w:adjustRightInd w:val="0"/>
              <w:snapToGrid w:val="0"/>
              <w:spacing w:line="400" w:lineRule="exact"/>
              <w:rPr>
                <w:rFonts w:hint="eastAsia" w:eastAsia="宋体"/>
                <w:color w:val="FF0000"/>
                <w:sz w:val="24"/>
                <w:lang w:eastAsia="zh-CN"/>
              </w:rPr>
            </w:pPr>
            <w:r>
              <w:rPr>
                <w:rFonts w:hint="eastAsia"/>
                <w:color w:val="FF0000"/>
                <w:sz w:val="24"/>
                <w:lang w:eastAsia="zh-CN"/>
              </w:rPr>
              <w:t>省里发许可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58"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5</w:t>
            </w:r>
          </w:p>
        </w:tc>
        <w:tc>
          <w:tcPr>
            <w:tcW w:w="2590" w:type="dxa"/>
            <w:vMerge w:val="restart"/>
            <w:noWrap/>
            <w:vAlign w:val="center"/>
          </w:tcPr>
          <w:p>
            <w:pPr>
              <w:adjustRightInd w:val="0"/>
              <w:snapToGrid w:val="0"/>
              <w:spacing w:line="400" w:lineRule="exact"/>
              <w:rPr>
                <w:rFonts w:hint="eastAsia"/>
                <w:sz w:val="24"/>
              </w:rPr>
            </w:pPr>
            <w:r>
              <w:rPr>
                <w:rFonts w:hint="eastAsia"/>
                <w:sz w:val="24"/>
              </w:rPr>
              <w:t>有序推动生产设施老旧、工艺水平落后、环境管理水平低下等企业退出市场。</w:t>
            </w:r>
          </w:p>
        </w:tc>
        <w:tc>
          <w:tcPr>
            <w:tcW w:w="5065" w:type="dxa"/>
            <w:noWrap/>
            <w:vAlign w:val="center"/>
          </w:tcPr>
          <w:p>
            <w:pPr>
              <w:adjustRightInd w:val="0"/>
              <w:snapToGrid w:val="0"/>
              <w:spacing w:line="400" w:lineRule="exact"/>
              <w:rPr>
                <w:rFonts w:hint="eastAsia"/>
                <w:sz w:val="24"/>
              </w:rPr>
            </w:pPr>
            <w:r>
              <w:rPr>
                <w:rFonts w:hint="eastAsia"/>
                <w:sz w:val="24"/>
              </w:rPr>
              <w:t>逐步淘汰步进式烧结机和球团竖炉以及半封闭式硅锰合金、镍铁、高碳铬铁、高碳锰铁电炉。</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3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有序推动落后煤炭洗选企业退出市场。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1"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禁止铝加工（深井铸造）企业新改扩建项目采用固定式保温炉组、钢丝绳铸造机。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市应急管理局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6</w:t>
            </w:r>
          </w:p>
        </w:tc>
        <w:tc>
          <w:tcPr>
            <w:tcW w:w="2590" w:type="dxa"/>
            <w:vMerge w:val="restart"/>
            <w:noWrap/>
            <w:vAlign w:val="center"/>
          </w:tcPr>
          <w:p>
            <w:pPr>
              <w:adjustRightInd w:val="0"/>
              <w:snapToGrid w:val="0"/>
              <w:spacing w:line="400" w:lineRule="exact"/>
              <w:rPr>
                <w:rFonts w:hint="eastAsia"/>
                <w:sz w:val="24"/>
              </w:rPr>
            </w:pPr>
            <w:r>
              <w:rPr>
                <w:rFonts w:hint="eastAsia"/>
                <w:sz w:val="24"/>
              </w:rPr>
              <w:t>严禁违规新增产能。</w:t>
            </w:r>
          </w:p>
        </w:tc>
        <w:tc>
          <w:tcPr>
            <w:tcW w:w="5065" w:type="dxa"/>
            <w:noWrap/>
            <w:vAlign w:val="center"/>
          </w:tcPr>
          <w:p>
            <w:pPr>
              <w:adjustRightInd w:val="0"/>
              <w:snapToGrid w:val="0"/>
              <w:spacing w:line="400" w:lineRule="exact"/>
              <w:rPr>
                <w:rFonts w:hint="eastAsia"/>
                <w:sz w:val="24"/>
              </w:rPr>
            </w:pPr>
            <w:r>
              <w:rPr>
                <w:rFonts w:hint="eastAsia"/>
                <w:sz w:val="24"/>
              </w:rPr>
              <w:t>严禁违规新增水泥（熟料）、焦化、电解铝、平板玻璃（不含光伏压延玻璃）产能。</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推动2500吨/日以下普通硅酸盐水泥熟料生产线产能整合。</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7</w:t>
            </w:r>
          </w:p>
        </w:tc>
        <w:tc>
          <w:tcPr>
            <w:tcW w:w="2590" w:type="dxa"/>
            <w:noWrap/>
            <w:vAlign w:val="center"/>
          </w:tcPr>
          <w:p>
            <w:pPr>
              <w:adjustRightInd w:val="0"/>
              <w:snapToGrid w:val="0"/>
              <w:spacing w:line="400" w:lineRule="exact"/>
              <w:rPr>
                <w:rFonts w:hint="eastAsia"/>
                <w:sz w:val="24"/>
              </w:rPr>
            </w:pPr>
            <w:r>
              <w:rPr>
                <w:rFonts w:hint="eastAsia"/>
                <w:sz w:val="24"/>
              </w:rPr>
              <w:t>鼓励钢铁行业实施兼并重组。</w:t>
            </w:r>
          </w:p>
        </w:tc>
        <w:tc>
          <w:tcPr>
            <w:tcW w:w="5065" w:type="dxa"/>
            <w:noWrap/>
            <w:vAlign w:val="center"/>
          </w:tcPr>
          <w:p>
            <w:pPr>
              <w:adjustRightInd w:val="0"/>
              <w:snapToGrid w:val="0"/>
              <w:spacing w:line="400" w:lineRule="exact"/>
              <w:rPr>
                <w:rFonts w:hint="eastAsia"/>
                <w:sz w:val="24"/>
              </w:rPr>
            </w:pPr>
            <w:r>
              <w:rPr>
                <w:rFonts w:hint="eastAsia"/>
                <w:sz w:val="24"/>
              </w:rPr>
              <w:t>支持引导电炉钢有序发展，鼓励钢铁行业龙头企业实施兼并重组，到2025年，短流程炼钢产量占比达15%。</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（三）开展传统产业集群排查整治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8</w:t>
            </w:r>
          </w:p>
        </w:tc>
        <w:tc>
          <w:tcPr>
            <w:tcW w:w="2590" w:type="dxa"/>
            <w:noWrap/>
            <w:vAlign w:val="center"/>
          </w:tcPr>
          <w:p>
            <w:pPr>
              <w:adjustRightInd w:val="0"/>
              <w:snapToGrid w:val="0"/>
              <w:spacing w:line="400" w:lineRule="exact"/>
              <w:rPr>
                <w:rFonts w:hint="eastAsia"/>
                <w:sz w:val="24"/>
              </w:rPr>
            </w:pPr>
            <w:r>
              <w:rPr>
                <w:rFonts w:hint="eastAsia"/>
                <w:sz w:val="24"/>
              </w:rPr>
              <w:t>制定涉气产业集群发展规划。</w:t>
            </w:r>
          </w:p>
        </w:tc>
        <w:tc>
          <w:tcPr>
            <w:tcW w:w="5065" w:type="dxa"/>
            <w:noWrap/>
            <w:vAlign w:val="center"/>
          </w:tcPr>
          <w:p>
            <w:pPr>
              <w:adjustRightInd w:val="0"/>
              <w:snapToGrid w:val="0"/>
              <w:spacing w:line="400" w:lineRule="exact"/>
              <w:rPr>
                <w:rFonts w:hint="eastAsia"/>
                <w:sz w:val="24"/>
              </w:rPr>
            </w:pPr>
            <w:r>
              <w:rPr>
                <w:rFonts w:hint="eastAsia"/>
                <w:sz w:val="24"/>
              </w:rPr>
              <w:t>中小型传统制造企业集中的涉气产业集群要制定发展规划，严格项目审批，严防污染下乡。</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9</w:t>
            </w:r>
          </w:p>
        </w:tc>
        <w:tc>
          <w:tcPr>
            <w:tcW w:w="2590" w:type="dxa"/>
            <w:vMerge w:val="restart"/>
            <w:noWrap/>
            <w:vAlign w:val="center"/>
          </w:tcPr>
          <w:p>
            <w:pPr>
              <w:adjustRightInd w:val="0"/>
              <w:snapToGrid w:val="0"/>
              <w:spacing w:line="400" w:lineRule="exact"/>
              <w:rPr>
                <w:rFonts w:hint="eastAsia"/>
                <w:sz w:val="24"/>
              </w:rPr>
            </w:pPr>
            <w:r>
              <w:rPr>
                <w:rFonts w:hint="eastAsia"/>
                <w:sz w:val="24"/>
              </w:rPr>
              <w:t>开展涉气产业集群排查及分类治理。</w:t>
            </w:r>
          </w:p>
        </w:tc>
        <w:tc>
          <w:tcPr>
            <w:tcW w:w="5065" w:type="dxa"/>
            <w:noWrap/>
            <w:vAlign w:val="center"/>
          </w:tcPr>
          <w:p>
            <w:pPr>
              <w:adjustRightInd w:val="0"/>
              <w:snapToGrid w:val="0"/>
              <w:spacing w:line="400" w:lineRule="exact"/>
              <w:rPr>
                <w:rFonts w:hint="eastAsia"/>
                <w:sz w:val="24"/>
              </w:rPr>
            </w:pPr>
            <w:r>
              <w:rPr>
                <w:rFonts w:hint="eastAsia"/>
                <w:sz w:val="24"/>
              </w:rPr>
              <w:t>各市开展石灰岩、陶瓷等涉气产业集群排查及分类治理，“一群一策”制定整治提升方案，实施拉单挂账式管理，依法淘汰关停一批、搬迁入园一批、就地改造一批、做优做强一批。</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4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全面排查使用溶剂型涂料、油墨、胶粘剂、清洗剂以及涉及有机化工生产的产业集群，推动塑料加工、人造板、木材加工、家具制造、汽车维修等相关产业转型升级。</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r>
              <w:rPr>
                <w:rFonts w:hint="eastAsia"/>
                <w:sz w:val="24"/>
              </w:rPr>
              <w:t>、</w:t>
            </w:r>
            <w:r>
              <w:rPr>
                <w:rFonts w:hint="eastAsia"/>
                <w:sz w:val="24"/>
                <w:lang w:eastAsia="zh-CN"/>
              </w:rPr>
              <w:t>市发展改革委</w:t>
            </w:r>
            <w:r>
              <w:rPr>
                <w:rFonts w:hint="eastAsia"/>
                <w:sz w:val="24"/>
              </w:rPr>
              <w:t>、</w:t>
            </w: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高水平打造承接产业转移集聚区，持续加强产业集群环境治理。</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87"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10</w:t>
            </w:r>
          </w:p>
        </w:tc>
        <w:tc>
          <w:tcPr>
            <w:tcW w:w="2590" w:type="dxa"/>
            <w:noWrap/>
            <w:vAlign w:val="center"/>
          </w:tcPr>
          <w:p>
            <w:pPr>
              <w:adjustRightInd w:val="0"/>
              <w:snapToGrid w:val="0"/>
              <w:spacing w:line="400" w:lineRule="exact"/>
              <w:rPr>
                <w:rFonts w:hint="eastAsia"/>
                <w:sz w:val="24"/>
              </w:rPr>
            </w:pPr>
            <w:r>
              <w:rPr>
                <w:rFonts w:hint="eastAsia"/>
                <w:sz w:val="24"/>
              </w:rPr>
              <w:t>因地制宜建设集中供热中心、集中涂装中心、有机溶剂集中回收中心、活性炭再生中心、钣喷共享中心。</w:t>
            </w:r>
          </w:p>
        </w:tc>
        <w:tc>
          <w:tcPr>
            <w:tcW w:w="5065" w:type="dxa"/>
            <w:noWrap/>
            <w:vAlign w:val="center"/>
          </w:tcPr>
          <w:p>
            <w:pPr>
              <w:adjustRightInd w:val="0"/>
              <w:snapToGrid w:val="0"/>
              <w:spacing w:line="400" w:lineRule="exact"/>
              <w:rPr>
                <w:rFonts w:hint="eastAsia"/>
                <w:sz w:val="24"/>
              </w:rPr>
            </w:pPr>
            <w:r>
              <w:rPr>
                <w:rFonts w:hint="eastAsia"/>
                <w:sz w:val="24"/>
              </w:rPr>
              <w:t>结合“绿岛”项目等因地制宜建设集中供热中心、集中涂装中心，对区域内吸附剂使用量大的，推进建设吸附剂集中再生中心；对区域企业相同有机溶剂使用量较大的，建设有机溶剂集中回收中心。推进建设钣喷共享中心，配套建设适宜高效VOCs治理设施。</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（四）推动新能源和节能环保等产业健康发展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45"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11</w:t>
            </w:r>
          </w:p>
        </w:tc>
        <w:tc>
          <w:tcPr>
            <w:tcW w:w="2590" w:type="dxa"/>
            <w:vMerge w:val="restart"/>
            <w:noWrap/>
            <w:vAlign w:val="center"/>
          </w:tcPr>
          <w:p>
            <w:pPr>
              <w:adjustRightInd w:val="0"/>
              <w:snapToGrid w:val="0"/>
              <w:spacing w:line="400" w:lineRule="exact"/>
              <w:rPr>
                <w:rFonts w:hint="eastAsia"/>
                <w:sz w:val="24"/>
              </w:rPr>
            </w:pPr>
            <w:r>
              <w:rPr>
                <w:rFonts w:hint="eastAsia"/>
                <w:sz w:val="24"/>
              </w:rPr>
              <w:t>发展壮大新能源和节能环保等产业。</w:t>
            </w:r>
          </w:p>
        </w:tc>
        <w:tc>
          <w:tcPr>
            <w:tcW w:w="5065" w:type="dxa"/>
            <w:noWrap/>
            <w:vAlign w:val="center"/>
          </w:tcPr>
          <w:p>
            <w:pPr>
              <w:adjustRightInd w:val="0"/>
              <w:snapToGrid w:val="0"/>
              <w:spacing w:line="400" w:lineRule="exact"/>
              <w:rPr>
                <w:rFonts w:hint="eastAsia"/>
                <w:sz w:val="24"/>
              </w:rPr>
            </w:pPr>
            <w:r>
              <w:rPr>
                <w:rFonts w:hint="eastAsia"/>
                <w:sz w:val="24"/>
              </w:rPr>
              <w:t>加大政策扶持力度，在低（无）VOCs含量原辅材料生产和使用、VOCs污染治理、超低排放、环境和大气成分监测等领域支持培育一批技术水平高、市场竞争力强的龙头企业。</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市科技局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市财政局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2"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深化新能源和节能环保产业“双招双引”，</w:t>
            </w:r>
            <w:r>
              <w:rPr>
                <w:rFonts w:hint="eastAsia"/>
                <w:sz w:val="24"/>
                <w:lang w:eastAsia="zh-CN"/>
              </w:rPr>
              <w:t>推动</w:t>
            </w:r>
            <w:r>
              <w:rPr>
                <w:rFonts w:hint="eastAsia"/>
                <w:sz w:val="24"/>
              </w:rPr>
              <w:t>新能源产业高质量发展。</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市科技局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38"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推动新能源汽车和智能网联汽车等战略性新兴产业发展，围绕智能网联、车规级芯片、汽车技术服务业等领域实施精准招引和产业培育。</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12</w:t>
            </w:r>
          </w:p>
        </w:tc>
        <w:tc>
          <w:tcPr>
            <w:tcW w:w="2590" w:type="dxa"/>
            <w:vMerge w:val="restart"/>
            <w:noWrap/>
            <w:vAlign w:val="center"/>
          </w:tcPr>
          <w:p>
            <w:pPr>
              <w:adjustRightInd w:val="0"/>
              <w:snapToGrid w:val="0"/>
              <w:spacing w:line="380" w:lineRule="exact"/>
              <w:rPr>
                <w:rFonts w:hint="eastAsia"/>
                <w:sz w:val="24"/>
              </w:rPr>
            </w:pPr>
            <w:r>
              <w:rPr>
                <w:rFonts w:hint="eastAsia"/>
                <w:sz w:val="24"/>
              </w:rPr>
              <w:t>优化环保产业发展营商环境。</w:t>
            </w:r>
          </w:p>
        </w:tc>
        <w:tc>
          <w:tcPr>
            <w:tcW w:w="5065" w:type="dxa"/>
            <w:noWrap/>
            <w:vAlign w:val="center"/>
          </w:tcPr>
          <w:p>
            <w:pPr>
              <w:adjustRightInd w:val="0"/>
              <w:snapToGrid w:val="0"/>
              <w:spacing w:line="380" w:lineRule="exact"/>
              <w:rPr>
                <w:rFonts w:hint="eastAsia"/>
                <w:sz w:val="24"/>
              </w:rPr>
            </w:pPr>
            <w:r>
              <w:rPr>
                <w:rFonts w:hint="eastAsia"/>
                <w:sz w:val="24"/>
              </w:rPr>
              <w:t>开展招标投标领域优化营商环境对标提升行动，系统治理环保领域低价低质中标乱象，强化招标投标市场与履约现场“两场联动”机制，保障项目建设质量。</w:t>
            </w:r>
          </w:p>
        </w:tc>
        <w:tc>
          <w:tcPr>
            <w:tcW w:w="1169" w:type="dxa"/>
            <w:noWrap/>
            <w:vAlign w:val="center"/>
          </w:tcPr>
          <w:p>
            <w:pPr>
              <w:adjustRightInd w:val="0"/>
              <w:snapToGrid w:val="0"/>
              <w:spacing w:line="380" w:lineRule="exact"/>
              <w:jc w:val="center"/>
              <w:rPr>
                <w:rFonts w:hint="eastAsia"/>
                <w:sz w:val="24"/>
              </w:rPr>
            </w:pPr>
            <w:r>
              <w:rPr>
                <w:rFonts w:hint="eastAsia"/>
                <w:sz w:val="24"/>
              </w:rPr>
              <w:t>2024年</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r>
              <w:rPr>
                <w:rFonts w:hint="eastAsia"/>
                <w:sz w:val="24"/>
                <w:lang w:eastAsia="zh-CN"/>
              </w:rPr>
              <w:t>市自然资源和规划局</w:t>
            </w:r>
            <w:r>
              <w:rPr>
                <w:rFonts w:hint="eastAsia"/>
                <w:sz w:val="24"/>
              </w:rPr>
              <w:t>、</w:t>
            </w:r>
            <w:r>
              <w:rPr>
                <w:rFonts w:hint="eastAsia"/>
                <w:sz w:val="24"/>
                <w:lang w:eastAsia="zh-CN"/>
              </w:rPr>
              <w:t>市住房城乡建设局</w:t>
            </w:r>
            <w:r>
              <w:rPr>
                <w:rFonts w:hint="eastAsia"/>
                <w:sz w:val="24"/>
              </w:rPr>
              <w:t>、</w:t>
            </w:r>
            <w:r>
              <w:rPr>
                <w:rFonts w:hint="eastAsia"/>
                <w:sz w:val="24"/>
                <w:lang w:eastAsia="zh-CN"/>
              </w:rPr>
              <w:t>市农业农村局</w:t>
            </w:r>
            <w:r>
              <w:rPr>
                <w:rFonts w:hint="eastAsia"/>
                <w:sz w:val="24"/>
              </w:rPr>
              <w:t>、</w:t>
            </w:r>
            <w:r>
              <w:rPr>
                <w:rFonts w:hint="eastAsia"/>
                <w:sz w:val="24"/>
                <w:lang w:eastAsia="zh-CN"/>
              </w:rPr>
              <w:t>市水务局</w:t>
            </w:r>
            <w:r>
              <w:rPr>
                <w:rFonts w:hint="eastAsia"/>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加强市场监管，规范市场秩序，营造公平竞争环境，促进产业健康有序发展。</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市市场监管局</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市财政局</w:t>
            </w:r>
            <w:r>
              <w:rPr>
                <w:rFonts w:hint="eastAsia"/>
                <w:sz w:val="24"/>
              </w:rPr>
              <w:t>、</w:t>
            </w: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380" w:lineRule="exact"/>
              <w:rPr>
                <w:rFonts w:hint="eastAsia" w:eastAsia="方正楷体_GBK"/>
                <w:sz w:val="24"/>
              </w:rPr>
            </w:pPr>
            <w:r>
              <w:rPr>
                <w:rFonts w:hint="eastAsia" w:eastAsia="方正楷体_GBK"/>
                <w:sz w:val="24"/>
              </w:rPr>
              <w:t>（五）加快推广使用清洁能源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13</w:t>
            </w:r>
          </w:p>
        </w:tc>
        <w:tc>
          <w:tcPr>
            <w:tcW w:w="2590" w:type="dxa"/>
            <w:vMerge w:val="restart"/>
            <w:noWrap/>
            <w:vAlign w:val="center"/>
          </w:tcPr>
          <w:p>
            <w:pPr>
              <w:adjustRightInd w:val="0"/>
              <w:snapToGrid w:val="0"/>
              <w:spacing w:line="380" w:lineRule="exact"/>
              <w:rPr>
                <w:rFonts w:hint="eastAsia"/>
                <w:sz w:val="24"/>
              </w:rPr>
            </w:pPr>
            <w:r>
              <w:rPr>
                <w:rFonts w:hint="eastAsia"/>
                <w:sz w:val="24"/>
              </w:rPr>
              <w:t>加快发展清洁能源。</w:t>
            </w:r>
          </w:p>
        </w:tc>
        <w:tc>
          <w:tcPr>
            <w:tcW w:w="5065" w:type="dxa"/>
            <w:noWrap/>
            <w:vAlign w:val="center"/>
          </w:tcPr>
          <w:p>
            <w:pPr>
              <w:adjustRightInd w:val="0"/>
              <w:snapToGrid w:val="0"/>
              <w:spacing w:line="380" w:lineRule="exact"/>
              <w:rPr>
                <w:rFonts w:hint="eastAsia"/>
                <w:sz w:val="24"/>
              </w:rPr>
            </w:pPr>
            <w:r>
              <w:rPr>
                <w:rFonts w:hint="eastAsia"/>
                <w:sz w:val="24"/>
              </w:rPr>
              <w:t>围绕工业重点行业，推广电炉钢、电窑炉、电加热、高温热泵、大功率电热储能锅炉等工艺技术装备，扩大电气化终端用能设备使用比例。</w:t>
            </w:r>
          </w:p>
        </w:tc>
        <w:tc>
          <w:tcPr>
            <w:tcW w:w="1169" w:type="dxa"/>
            <w:noWrap/>
            <w:vAlign w:val="center"/>
          </w:tcPr>
          <w:p>
            <w:pPr>
              <w:adjustRightInd w:val="0"/>
              <w:snapToGrid w:val="0"/>
              <w:spacing w:line="380" w:lineRule="exact"/>
              <w:jc w:val="center"/>
              <w:rPr>
                <w:rFonts w:hint="eastAsia"/>
                <w:sz w:val="24"/>
              </w:rPr>
            </w:pPr>
            <w:r>
              <w:rPr>
                <w:rFonts w:hint="eastAsia"/>
                <w:sz w:val="24"/>
              </w:rPr>
              <w:t>2025年</w:t>
            </w:r>
          </w:p>
        </w:tc>
        <w:tc>
          <w:tcPr>
            <w:tcW w:w="2264" w:type="dxa"/>
            <w:noWrap/>
            <w:vAlign w:val="center"/>
          </w:tcPr>
          <w:p>
            <w:pPr>
              <w:adjustRightInd w:val="0"/>
              <w:snapToGrid w:val="0"/>
              <w:spacing w:line="380" w:lineRule="exact"/>
              <w:rPr>
                <w:rFonts w:hint="eastAsia"/>
                <w:sz w:val="24"/>
              </w:rPr>
            </w:pPr>
            <w:r>
              <w:rPr>
                <w:rFonts w:hint="eastAsia"/>
                <w:sz w:val="24"/>
                <w:lang w:eastAsia="zh-CN"/>
              </w:rPr>
              <w:t>市发展改革委、市工业和信</w:t>
            </w:r>
            <w:r>
              <w:rPr>
                <w:rFonts w:hint="eastAsia"/>
                <w:color w:val="auto"/>
                <w:sz w:val="24"/>
                <w:lang w:eastAsia="zh-CN"/>
              </w:rPr>
              <w:t>息化局</w:t>
            </w:r>
            <w:r>
              <w:rPr>
                <w:rFonts w:hint="eastAsia"/>
                <w:color w:val="auto"/>
                <w:sz w:val="24"/>
              </w:rPr>
              <w:t>、</w:t>
            </w:r>
            <w:r>
              <w:rPr>
                <w:rFonts w:hint="eastAsia"/>
                <w:color w:val="auto"/>
                <w:sz w:val="24"/>
                <w:lang w:eastAsia="zh-CN"/>
              </w:rPr>
              <w:t>市生态环境局</w:t>
            </w:r>
            <w:r>
              <w:rPr>
                <w:rFonts w:hint="eastAsia"/>
                <w:color w:val="auto"/>
                <w:sz w:val="24"/>
              </w:rPr>
              <w:t>等按职责分工负责</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到2024年底，新增可再生能源发电装机500万千瓦以上。</w:t>
            </w:r>
          </w:p>
        </w:tc>
        <w:tc>
          <w:tcPr>
            <w:tcW w:w="1169" w:type="dxa"/>
            <w:noWrap/>
            <w:vAlign w:val="center"/>
          </w:tcPr>
          <w:p>
            <w:pPr>
              <w:adjustRightInd w:val="0"/>
              <w:snapToGrid w:val="0"/>
              <w:spacing w:line="380" w:lineRule="exact"/>
              <w:jc w:val="center"/>
              <w:rPr>
                <w:rFonts w:hint="eastAsia"/>
                <w:sz w:val="24"/>
              </w:rPr>
            </w:pPr>
            <w:r>
              <w:rPr>
                <w:rFonts w:hint="eastAsia"/>
                <w:sz w:val="24"/>
              </w:rPr>
              <w:t>2024年</w:t>
            </w:r>
          </w:p>
        </w:tc>
        <w:tc>
          <w:tcPr>
            <w:tcW w:w="2264" w:type="dxa"/>
            <w:noWrap/>
            <w:vAlign w:val="center"/>
          </w:tcPr>
          <w:p>
            <w:pPr>
              <w:adjustRightInd w:val="0"/>
              <w:snapToGrid w:val="0"/>
              <w:spacing w:line="38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07"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深入实施风电光伏发电装机倍增工程，加快新型储能电站等建设。到2025年，非化石能源消费比重达到15.5%以上，清洁能源成为能源消费增量的主体，电能占终端能源消费比重达到30%左右。</w:t>
            </w:r>
          </w:p>
        </w:tc>
        <w:tc>
          <w:tcPr>
            <w:tcW w:w="1169" w:type="dxa"/>
            <w:noWrap/>
            <w:vAlign w:val="center"/>
          </w:tcPr>
          <w:p>
            <w:pPr>
              <w:adjustRightInd w:val="0"/>
              <w:snapToGrid w:val="0"/>
              <w:spacing w:line="380" w:lineRule="exact"/>
              <w:jc w:val="center"/>
              <w:rPr>
                <w:rFonts w:hint="eastAsia"/>
                <w:sz w:val="24"/>
              </w:rPr>
            </w:pPr>
            <w:r>
              <w:rPr>
                <w:rFonts w:hint="eastAsia"/>
                <w:sz w:val="24"/>
              </w:rPr>
              <w:t>2025年</w:t>
            </w:r>
          </w:p>
        </w:tc>
        <w:tc>
          <w:tcPr>
            <w:tcW w:w="2264" w:type="dxa"/>
            <w:noWrap/>
            <w:vAlign w:val="center"/>
          </w:tcPr>
          <w:p>
            <w:pPr>
              <w:adjustRightInd w:val="0"/>
              <w:snapToGrid w:val="0"/>
              <w:spacing w:line="38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69"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积极引入区外优质清洁电力。</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14</w:t>
            </w:r>
          </w:p>
        </w:tc>
        <w:tc>
          <w:tcPr>
            <w:tcW w:w="2590" w:type="dxa"/>
            <w:vMerge w:val="restart"/>
            <w:noWrap/>
            <w:vAlign w:val="center"/>
          </w:tcPr>
          <w:p>
            <w:pPr>
              <w:adjustRightInd w:val="0"/>
              <w:snapToGrid w:val="0"/>
              <w:spacing w:line="400" w:lineRule="exact"/>
              <w:rPr>
                <w:rFonts w:hint="eastAsia"/>
                <w:sz w:val="24"/>
              </w:rPr>
            </w:pPr>
            <w:r>
              <w:rPr>
                <w:rFonts w:hint="eastAsia"/>
                <w:sz w:val="24"/>
              </w:rPr>
              <w:t>增强天然气供应能力。</w:t>
            </w:r>
          </w:p>
        </w:tc>
        <w:tc>
          <w:tcPr>
            <w:tcW w:w="5065" w:type="dxa"/>
            <w:noWrap/>
            <w:vAlign w:val="center"/>
          </w:tcPr>
          <w:p>
            <w:pPr>
              <w:adjustRightInd w:val="0"/>
              <w:snapToGrid w:val="0"/>
              <w:spacing w:line="400" w:lineRule="exact"/>
              <w:rPr>
                <w:rFonts w:hint="eastAsia"/>
                <w:sz w:val="24"/>
              </w:rPr>
            </w:pPr>
            <w:r>
              <w:rPr>
                <w:rFonts w:hint="eastAsia"/>
                <w:sz w:val="24"/>
              </w:rPr>
              <w:t>加快推进天然气入皖管道建设，做好中长期供气合同、民生用气合同等签订履约工作，新增天然气优先保障居民生活和清洁取暖需求。</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提升城镇燃气管网覆盖率，实施老旧管网隐患治理和改造提升，督促城镇燃气企业提升应急保供能力。指导城镇供热企业积极推广清洁能源技术，科学合理布局供热管道。</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（六）推动煤炭消费减量替代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16"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15</w:t>
            </w:r>
          </w:p>
        </w:tc>
        <w:tc>
          <w:tcPr>
            <w:tcW w:w="2590" w:type="dxa"/>
            <w:noWrap/>
            <w:vAlign w:val="center"/>
          </w:tcPr>
          <w:p>
            <w:pPr>
              <w:adjustRightInd w:val="0"/>
              <w:snapToGrid w:val="0"/>
              <w:spacing w:line="400" w:lineRule="exact"/>
              <w:rPr>
                <w:rFonts w:hint="eastAsia"/>
                <w:sz w:val="24"/>
              </w:rPr>
            </w:pPr>
            <w:r>
              <w:rPr>
                <w:rFonts w:hint="eastAsia"/>
                <w:sz w:val="24"/>
              </w:rPr>
              <w:t>合理控制煤炭消费总量。</w:t>
            </w:r>
          </w:p>
        </w:tc>
        <w:tc>
          <w:tcPr>
            <w:tcW w:w="5065" w:type="dxa"/>
            <w:noWrap/>
            <w:vAlign w:val="center"/>
          </w:tcPr>
          <w:p>
            <w:pPr>
              <w:adjustRightInd w:val="0"/>
              <w:snapToGrid w:val="0"/>
              <w:spacing w:line="400" w:lineRule="exact"/>
              <w:rPr>
                <w:rFonts w:hint="eastAsia"/>
                <w:sz w:val="24"/>
              </w:rPr>
            </w:pPr>
            <w:r>
              <w:rPr>
                <w:rFonts w:hint="eastAsia"/>
                <w:sz w:val="24"/>
              </w:rPr>
              <w:t>在保障能源安全供应的前提下，继续实施煤炭消费总量控制，重点削减非电力用煤。到2025年，重点区域煤炭消费量较2020年下降5%左右。</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r>
              <w:rPr>
                <w:rFonts w:hint="eastAsia"/>
                <w:sz w:val="24"/>
              </w:rPr>
              <w:t>、</w:t>
            </w: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93"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16</w:t>
            </w:r>
          </w:p>
        </w:tc>
        <w:tc>
          <w:tcPr>
            <w:tcW w:w="2590" w:type="dxa"/>
            <w:vMerge w:val="restart"/>
            <w:noWrap/>
            <w:vAlign w:val="center"/>
          </w:tcPr>
          <w:p>
            <w:pPr>
              <w:rPr>
                <w:rFonts w:hint="eastAsia"/>
                <w:sz w:val="24"/>
              </w:rPr>
            </w:pPr>
            <w:r>
              <w:rPr>
                <w:rFonts w:hint="eastAsia"/>
                <w:sz w:val="24"/>
              </w:rPr>
              <w:t>推动煤炭等量或减量替代。</w:t>
            </w:r>
          </w:p>
        </w:tc>
        <w:tc>
          <w:tcPr>
            <w:tcW w:w="5065" w:type="dxa"/>
            <w:noWrap/>
            <w:vAlign w:val="center"/>
          </w:tcPr>
          <w:p>
            <w:pPr>
              <w:adjustRightInd w:val="0"/>
              <w:snapToGrid w:val="0"/>
              <w:spacing w:line="400" w:lineRule="exact"/>
              <w:rPr>
                <w:rFonts w:hint="eastAsia"/>
                <w:sz w:val="24"/>
              </w:rPr>
            </w:pPr>
            <w:r>
              <w:rPr>
                <w:rFonts w:hint="eastAsia"/>
                <w:sz w:val="24"/>
              </w:rPr>
              <w:t>重点区域新改扩建用煤项目，依法实行煤炭等量或减量替代，替代方案不完善的能评、环评等不予审批；不得使用石油焦、焦炭、兰炭等高污染燃料作为煤炭减量替代措施。</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r>
              <w:rPr>
                <w:rFonts w:hint="eastAsia"/>
                <w:sz w:val="24"/>
              </w:rPr>
              <w:t>、</w:t>
            </w:r>
            <w:r>
              <w:rPr>
                <w:rFonts w:hint="eastAsia"/>
                <w:sz w:val="24"/>
                <w:lang w:eastAsia="zh-CN"/>
              </w:rPr>
              <w:t>市生态环境局</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lang w:eastAsia="zh-CN"/>
              </w:rPr>
              <w:t>落实</w:t>
            </w:r>
            <w:r>
              <w:rPr>
                <w:rFonts w:hint="eastAsia"/>
                <w:sz w:val="24"/>
              </w:rPr>
              <w:t>煤炭消费减量替代管理办法，煤矸石、原料用煤不纳入煤炭消费总量考核。</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17</w:t>
            </w:r>
          </w:p>
        </w:tc>
        <w:tc>
          <w:tcPr>
            <w:tcW w:w="2590" w:type="dxa"/>
            <w:noWrap/>
            <w:vAlign w:val="center"/>
          </w:tcPr>
          <w:p>
            <w:pPr>
              <w:adjustRightInd w:val="0"/>
              <w:snapToGrid w:val="0"/>
              <w:spacing w:line="400" w:lineRule="exact"/>
              <w:rPr>
                <w:rFonts w:hint="eastAsia"/>
                <w:sz w:val="24"/>
              </w:rPr>
            </w:pPr>
            <w:r>
              <w:rPr>
                <w:rFonts w:hint="eastAsia"/>
                <w:sz w:val="24"/>
              </w:rPr>
              <w:t>持续加大散煤替代力度。</w:t>
            </w:r>
          </w:p>
        </w:tc>
        <w:tc>
          <w:tcPr>
            <w:tcW w:w="5065" w:type="dxa"/>
            <w:noWrap/>
            <w:vAlign w:val="center"/>
          </w:tcPr>
          <w:p>
            <w:pPr>
              <w:adjustRightInd w:val="0"/>
              <w:snapToGrid w:val="0"/>
              <w:spacing w:line="400" w:lineRule="exact"/>
              <w:rPr>
                <w:rFonts w:hint="eastAsia"/>
                <w:sz w:val="24"/>
              </w:rPr>
            </w:pPr>
            <w:r>
              <w:rPr>
                <w:rFonts w:hint="eastAsia"/>
                <w:sz w:val="24"/>
              </w:rPr>
              <w:t>持续加大民用、农用散煤替代力度，散煤基本清零。</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r>
              <w:rPr>
                <w:rFonts w:hint="eastAsia"/>
                <w:sz w:val="24"/>
              </w:rPr>
              <w:t>、</w:t>
            </w:r>
            <w:r>
              <w:rPr>
                <w:rFonts w:hint="eastAsia"/>
                <w:sz w:val="24"/>
                <w:lang w:eastAsia="zh-CN"/>
              </w:rPr>
              <w:t>市农业农村局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96"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18</w:t>
            </w:r>
          </w:p>
        </w:tc>
        <w:tc>
          <w:tcPr>
            <w:tcW w:w="2590" w:type="dxa"/>
            <w:noWrap/>
            <w:vAlign w:val="center"/>
          </w:tcPr>
          <w:p>
            <w:pPr>
              <w:adjustRightInd w:val="0"/>
              <w:snapToGrid w:val="0"/>
              <w:spacing w:line="400" w:lineRule="exact"/>
              <w:rPr>
                <w:rFonts w:hint="eastAsia"/>
                <w:sz w:val="24"/>
              </w:rPr>
            </w:pPr>
            <w:r>
              <w:rPr>
                <w:rFonts w:hint="eastAsia"/>
                <w:sz w:val="24"/>
              </w:rPr>
              <w:t>强化企业商品煤质量管理。</w:t>
            </w:r>
          </w:p>
        </w:tc>
        <w:tc>
          <w:tcPr>
            <w:tcW w:w="5065" w:type="dxa"/>
            <w:noWrap/>
            <w:vAlign w:val="center"/>
          </w:tcPr>
          <w:p>
            <w:pPr>
              <w:adjustRightInd w:val="0"/>
              <w:snapToGrid w:val="0"/>
              <w:spacing w:line="400" w:lineRule="exact"/>
              <w:rPr>
                <w:rFonts w:hint="eastAsia"/>
                <w:sz w:val="24"/>
              </w:rPr>
            </w:pPr>
            <w:r>
              <w:rPr>
                <w:rFonts w:hint="eastAsia"/>
                <w:sz w:val="24"/>
              </w:rPr>
              <w:t>鼓励制定更严格的商品煤质量企业标准，提倡生产和使用优质煤。强化企业商品煤质量管理，加大对高硫、高灰、低热值商品煤的监督检查力度，严厉查处不符合相关规定的商品煤远距离运输和在禁燃区内销售高污染燃料等行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r>
              <w:rPr>
                <w:rFonts w:hint="eastAsia"/>
                <w:sz w:val="24"/>
              </w:rPr>
              <w:t>、</w:t>
            </w:r>
            <w:r>
              <w:rPr>
                <w:rFonts w:hint="eastAsia"/>
                <w:sz w:val="24"/>
                <w:lang w:eastAsia="zh-CN"/>
              </w:rPr>
              <w:t>市农业农村局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（七）加快推动燃煤锅炉机组升级改造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03"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19</w:t>
            </w:r>
          </w:p>
        </w:tc>
        <w:tc>
          <w:tcPr>
            <w:tcW w:w="2590" w:type="dxa"/>
            <w:vMerge w:val="restart"/>
            <w:noWrap/>
            <w:vAlign w:val="center"/>
          </w:tcPr>
          <w:p>
            <w:pPr>
              <w:adjustRightInd w:val="0"/>
              <w:snapToGrid w:val="0"/>
              <w:spacing w:line="400" w:lineRule="exact"/>
              <w:rPr>
                <w:rFonts w:hint="eastAsia"/>
                <w:sz w:val="24"/>
              </w:rPr>
            </w:pPr>
            <w:r>
              <w:rPr>
                <w:rFonts w:hint="eastAsia"/>
                <w:sz w:val="24"/>
              </w:rPr>
              <w:t>严控热源性燃煤设施建设。</w:t>
            </w:r>
          </w:p>
        </w:tc>
        <w:tc>
          <w:tcPr>
            <w:tcW w:w="5065" w:type="dxa"/>
            <w:noWrap/>
            <w:vAlign w:val="center"/>
          </w:tcPr>
          <w:p>
            <w:pPr>
              <w:adjustRightInd w:val="0"/>
              <w:snapToGrid w:val="0"/>
              <w:spacing w:line="400" w:lineRule="exact"/>
              <w:rPr>
                <w:rFonts w:hint="eastAsia"/>
                <w:color w:val="FF0000"/>
                <w:sz w:val="24"/>
              </w:rPr>
            </w:pPr>
            <w:r>
              <w:rPr>
                <w:rFonts w:hint="eastAsia"/>
                <w:color w:val="FF0000"/>
                <w:sz w:val="24"/>
              </w:rPr>
              <w:t>将燃煤供热锅炉替代项目纳入城镇供热规划。</w:t>
            </w:r>
          </w:p>
        </w:tc>
        <w:tc>
          <w:tcPr>
            <w:tcW w:w="1169" w:type="dxa"/>
            <w:noWrap/>
            <w:vAlign w:val="center"/>
          </w:tcPr>
          <w:p>
            <w:pPr>
              <w:adjustRightInd w:val="0"/>
              <w:snapToGrid w:val="0"/>
              <w:spacing w:line="400" w:lineRule="exact"/>
              <w:jc w:val="center"/>
              <w:rPr>
                <w:rFonts w:hint="eastAsia"/>
                <w:color w:val="FF0000"/>
                <w:sz w:val="24"/>
              </w:rPr>
            </w:pPr>
            <w:r>
              <w:rPr>
                <w:rFonts w:hint="eastAsia"/>
                <w:color w:val="FF0000"/>
                <w:sz w:val="24"/>
              </w:rPr>
              <w:t>2024年</w:t>
            </w:r>
          </w:p>
        </w:tc>
        <w:tc>
          <w:tcPr>
            <w:tcW w:w="2264" w:type="dxa"/>
            <w:noWrap/>
            <w:vAlign w:val="center"/>
          </w:tcPr>
          <w:p>
            <w:pPr>
              <w:adjustRightInd w:val="0"/>
              <w:snapToGrid w:val="0"/>
              <w:spacing w:line="400" w:lineRule="exact"/>
              <w:rPr>
                <w:rFonts w:hint="eastAsia" w:eastAsia="宋体"/>
                <w:color w:val="FF0000"/>
                <w:sz w:val="24"/>
                <w:lang w:eastAsia="zh-CN"/>
              </w:rPr>
            </w:pPr>
            <w:r>
              <w:rPr>
                <w:rFonts w:hint="eastAsia"/>
                <w:color w:val="FF0000"/>
                <w:sz w:val="24"/>
                <w:lang w:eastAsia="zh-CN"/>
              </w:rPr>
              <w:t>各县区人民政府</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14"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加快热力管网建设，依托电厂、大型工业企业开展远距离供热示范，鼓励城镇供热企业积极推广清洁能源技术，科学合理布局供热管道。</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市住房城乡建设局</w:t>
            </w:r>
            <w:r>
              <w:rPr>
                <w:rFonts w:hint="eastAsia"/>
                <w:sz w:val="24"/>
              </w:rPr>
              <w:t>、</w:t>
            </w:r>
            <w:r>
              <w:rPr>
                <w:rFonts w:hint="eastAsia"/>
                <w:sz w:val="24"/>
                <w:lang w:eastAsia="zh-CN"/>
              </w:rPr>
              <w:t>市发展改革委</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淘汰管网覆盖范围内的燃煤锅炉和散煤。</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市生态环境局</w:t>
            </w:r>
            <w:r>
              <w:rPr>
                <w:rFonts w:hint="eastAsia"/>
                <w:sz w:val="24"/>
              </w:rPr>
              <w:t>、</w:t>
            </w:r>
            <w:r>
              <w:rPr>
                <w:rFonts w:hint="eastAsia"/>
                <w:sz w:val="24"/>
                <w:lang w:eastAsia="zh-CN"/>
              </w:rPr>
              <w:t>市发展改革委</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10"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原则上不再新建除集中供暖外的燃煤锅炉。</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70" w:type="dxa"/>
            <w:gridSpan w:val="2"/>
            <w:noWrap/>
            <w:vAlign w:val="center"/>
          </w:tcPr>
          <w:p>
            <w:pPr>
              <w:adjustRightInd w:val="0"/>
              <w:snapToGrid w:val="0"/>
              <w:spacing w:line="400" w:lineRule="exact"/>
              <w:rPr>
                <w:rFonts w:hint="eastAsia"/>
                <w:sz w:val="24"/>
              </w:rPr>
            </w:pPr>
            <w:r>
              <w:rPr>
                <w:rFonts w:hint="eastAsia"/>
                <w:sz w:val="24"/>
                <w:lang w:eastAsia="zh-CN"/>
              </w:rPr>
              <w:t>市发展改革委</w:t>
            </w:r>
            <w:r>
              <w:rPr>
                <w:rFonts w:hint="eastAsia"/>
                <w:sz w:val="24"/>
              </w:rPr>
              <w:t>、</w:t>
            </w:r>
            <w:r>
              <w:rPr>
                <w:rFonts w:hint="eastAsia"/>
                <w:sz w:val="24"/>
                <w:lang w:eastAsia="zh-CN"/>
              </w:rPr>
              <w:t>市生态环境局</w:t>
            </w:r>
            <w:r>
              <w:rPr>
                <w:rFonts w:hint="eastAsia"/>
                <w:sz w:val="24"/>
              </w:rPr>
              <w:t>按职责分工负责</w:t>
            </w:r>
          </w:p>
        </w:tc>
        <w:tc>
          <w:tcPr>
            <w:tcW w:w="2270" w:type="dxa"/>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22"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20</w:t>
            </w:r>
          </w:p>
        </w:tc>
        <w:tc>
          <w:tcPr>
            <w:tcW w:w="2590" w:type="dxa"/>
            <w:vMerge w:val="restart"/>
            <w:noWrap/>
            <w:vAlign w:val="center"/>
          </w:tcPr>
          <w:p>
            <w:pPr>
              <w:adjustRightInd w:val="0"/>
              <w:snapToGrid w:val="0"/>
              <w:spacing w:line="400" w:lineRule="exact"/>
              <w:rPr>
                <w:rFonts w:hint="eastAsia"/>
                <w:sz w:val="24"/>
              </w:rPr>
            </w:pPr>
            <w:r>
              <w:rPr>
                <w:rFonts w:hint="eastAsia"/>
                <w:sz w:val="24"/>
              </w:rPr>
              <w:t>持续推动各类燃煤设施清洁能源替代。</w:t>
            </w:r>
          </w:p>
        </w:tc>
        <w:tc>
          <w:tcPr>
            <w:tcW w:w="5065" w:type="dxa"/>
            <w:noWrap/>
            <w:vAlign w:val="center"/>
          </w:tcPr>
          <w:p>
            <w:pPr>
              <w:adjustRightInd w:val="0"/>
              <w:snapToGrid w:val="0"/>
              <w:spacing w:line="400" w:lineRule="exact"/>
              <w:rPr>
                <w:rFonts w:hint="eastAsia"/>
                <w:sz w:val="24"/>
              </w:rPr>
            </w:pPr>
            <w:r>
              <w:rPr>
                <w:rFonts w:hint="eastAsia"/>
                <w:sz w:val="24"/>
              </w:rPr>
              <w:t>在全面淘汰35蒸吨/小时以下燃煤锅炉的基础上，持续推动各类燃煤设施清洁能源替代；持续推进种植业、畜禽养殖业高污染燃料替代工作；2025年底前，基本完成茶水炉、经营性炉灶、储粮烘干设备、农产品加工等燃煤设施清洁能源替代。</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r>
              <w:rPr>
                <w:rFonts w:hint="eastAsia"/>
                <w:sz w:val="24"/>
              </w:rPr>
              <w:t>、</w:t>
            </w:r>
            <w:r>
              <w:rPr>
                <w:rFonts w:hint="eastAsia"/>
                <w:sz w:val="24"/>
                <w:lang w:eastAsia="zh-CN"/>
              </w:rPr>
              <w:t>市生态环境局</w:t>
            </w:r>
            <w:r>
              <w:rPr>
                <w:rFonts w:hint="eastAsia"/>
                <w:sz w:val="24"/>
              </w:rPr>
              <w:t>、</w:t>
            </w:r>
            <w:r>
              <w:rPr>
                <w:rFonts w:hint="eastAsia"/>
                <w:sz w:val="24"/>
                <w:lang w:eastAsia="zh-CN"/>
              </w:rPr>
              <w:t>市住房城乡建设局</w:t>
            </w:r>
            <w:r>
              <w:rPr>
                <w:rFonts w:hint="eastAsia"/>
                <w:sz w:val="24"/>
              </w:rPr>
              <w:t>、</w:t>
            </w:r>
            <w:r>
              <w:rPr>
                <w:rFonts w:hint="eastAsia"/>
                <w:sz w:val="24"/>
                <w:lang w:eastAsia="zh-CN"/>
              </w:rPr>
              <w:t>市农业农村局</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58"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对30万千瓦以上热电联产机组供热半径30公里范围内燃煤锅炉和落后燃煤小热电机组（含自备电厂）进行关停整合。</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50"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21</w:t>
            </w:r>
          </w:p>
        </w:tc>
        <w:tc>
          <w:tcPr>
            <w:tcW w:w="2590" w:type="dxa"/>
            <w:noWrap/>
            <w:vAlign w:val="center"/>
          </w:tcPr>
          <w:p>
            <w:pPr>
              <w:adjustRightInd w:val="0"/>
              <w:snapToGrid w:val="0"/>
              <w:spacing w:line="400" w:lineRule="exact"/>
              <w:rPr>
                <w:rFonts w:hint="eastAsia"/>
                <w:sz w:val="24"/>
              </w:rPr>
            </w:pPr>
            <w:r>
              <w:rPr>
                <w:rFonts w:hint="eastAsia"/>
                <w:sz w:val="24"/>
              </w:rPr>
              <w:t>推动现有燃煤机组升级改造。</w:t>
            </w:r>
          </w:p>
        </w:tc>
        <w:tc>
          <w:tcPr>
            <w:tcW w:w="5065" w:type="dxa"/>
            <w:noWrap/>
            <w:vAlign w:val="center"/>
          </w:tcPr>
          <w:p>
            <w:pPr>
              <w:adjustRightInd w:val="0"/>
              <w:snapToGrid w:val="0"/>
              <w:spacing w:line="400" w:lineRule="exact"/>
              <w:rPr>
                <w:rFonts w:hint="eastAsia"/>
                <w:sz w:val="24"/>
              </w:rPr>
            </w:pPr>
            <w:r>
              <w:rPr>
                <w:rFonts w:hint="eastAsia"/>
                <w:sz w:val="24"/>
              </w:rPr>
              <w:t>禁止新建自备燃煤机组，鼓励自备燃煤机组积极开展清洁能源替代。大力推动现有煤电机组开展节能降碳改造、灵活性改造、供热改造“三改联动”。</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（八）推动工业炉窑清洁能源替代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24"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22</w:t>
            </w:r>
          </w:p>
        </w:tc>
        <w:tc>
          <w:tcPr>
            <w:tcW w:w="2590" w:type="dxa"/>
            <w:noWrap/>
            <w:vAlign w:val="center"/>
          </w:tcPr>
          <w:p>
            <w:pPr>
              <w:adjustRightInd w:val="0"/>
              <w:snapToGrid w:val="0"/>
              <w:spacing w:line="400" w:lineRule="exact"/>
              <w:rPr>
                <w:rFonts w:hint="eastAsia"/>
                <w:sz w:val="24"/>
              </w:rPr>
            </w:pPr>
            <w:r>
              <w:rPr>
                <w:rFonts w:hint="eastAsia"/>
                <w:sz w:val="24"/>
              </w:rPr>
              <w:t>提高工业领域电气化水平。</w:t>
            </w:r>
          </w:p>
        </w:tc>
        <w:tc>
          <w:tcPr>
            <w:tcW w:w="5065" w:type="dxa"/>
            <w:noWrap/>
            <w:vAlign w:val="center"/>
          </w:tcPr>
          <w:p>
            <w:pPr>
              <w:adjustRightInd w:val="0"/>
              <w:snapToGrid w:val="0"/>
              <w:spacing w:line="400" w:lineRule="exact"/>
              <w:rPr>
                <w:rFonts w:hint="eastAsia"/>
                <w:sz w:val="24"/>
              </w:rPr>
            </w:pPr>
            <w:r>
              <w:rPr>
                <w:rFonts w:hint="eastAsia"/>
                <w:sz w:val="24"/>
              </w:rPr>
              <w:t>有序推进工业领域电能替代，稳妥推进工业领域天然气替代使用，推动大用户直供气，降低供气成本。</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sz w:val="24"/>
              </w:rPr>
            </w:pPr>
            <w:r>
              <w:rPr>
                <w:rFonts w:hint="eastAsia"/>
                <w:sz w:val="24"/>
                <w:lang w:eastAsia="zh-CN"/>
              </w:rPr>
              <w:t>市工业和信息化局</w:t>
            </w:r>
            <w:r>
              <w:rPr>
                <w:rFonts w:hint="eastAsia"/>
                <w:sz w:val="24"/>
              </w:rPr>
              <w:t>、</w:t>
            </w:r>
            <w:r>
              <w:rPr>
                <w:rFonts w:hint="eastAsia"/>
                <w:sz w:val="24"/>
                <w:lang w:eastAsia="zh-CN"/>
              </w:rPr>
              <w:t>市生态环境局</w:t>
            </w:r>
            <w:r>
              <w:rPr>
                <w:rFonts w:hint="eastAsia"/>
                <w:sz w:val="24"/>
              </w:rPr>
              <w:t>、</w:t>
            </w:r>
            <w:r>
              <w:rPr>
                <w:rFonts w:hint="eastAsia"/>
                <w:sz w:val="24"/>
                <w:lang w:eastAsia="zh-CN"/>
              </w:rPr>
              <w:t>市发展改革委</w:t>
            </w:r>
            <w:r>
              <w:rPr>
                <w:rFonts w:hint="eastAsia"/>
                <w:sz w:val="24"/>
              </w:rPr>
              <w:t>等按职责分工负责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8"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23</w:t>
            </w:r>
          </w:p>
        </w:tc>
        <w:tc>
          <w:tcPr>
            <w:tcW w:w="2590" w:type="dxa"/>
            <w:vMerge w:val="restart"/>
            <w:noWrap/>
            <w:vAlign w:val="center"/>
          </w:tcPr>
          <w:p>
            <w:pPr>
              <w:rPr>
                <w:rFonts w:hint="eastAsia"/>
                <w:sz w:val="24"/>
              </w:rPr>
            </w:pPr>
            <w:r>
              <w:rPr>
                <w:rFonts w:hint="eastAsia"/>
                <w:sz w:val="24"/>
              </w:rPr>
              <w:t>推动煤气发生炉清洁能源替代。</w:t>
            </w:r>
          </w:p>
        </w:tc>
        <w:tc>
          <w:tcPr>
            <w:tcW w:w="5065" w:type="dxa"/>
            <w:noWrap/>
            <w:vAlign w:val="center"/>
          </w:tcPr>
          <w:p>
            <w:pPr>
              <w:adjustRightInd w:val="0"/>
              <w:snapToGrid w:val="0"/>
              <w:spacing w:line="400" w:lineRule="exact"/>
              <w:rPr>
                <w:rFonts w:hint="eastAsia"/>
                <w:sz w:val="24"/>
              </w:rPr>
            </w:pPr>
            <w:r>
              <w:rPr>
                <w:rFonts w:hint="eastAsia"/>
                <w:sz w:val="24"/>
              </w:rPr>
              <w:t>不再新增燃料类煤气发生炉。</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r>
              <w:rPr>
                <w:rFonts w:hint="eastAsia"/>
                <w:sz w:val="24"/>
                <w:lang w:eastAsia="zh-CN"/>
              </w:rPr>
              <w:t>市发展改革委</w:t>
            </w:r>
            <w:r>
              <w:rPr>
                <w:rFonts w:hint="eastAsia"/>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55"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新改扩建加热炉、热处理炉、干燥炉、熔化炉原则上采用清洁低碳能源。燃料类煤气发生炉实施清洁能源替代，或因地制宜采取园区（集群）集中供气、分散使用方式。逐步淘汰固定床间歇式煤气发生炉，鼓励现有煤气发生炉“小改大”。</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r>
              <w:rPr>
                <w:rFonts w:hint="eastAsia"/>
                <w:sz w:val="24"/>
                <w:lang w:eastAsia="zh-CN"/>
              </w:rPr>
              <w:t>市发展改革委</w:t>
            </w:r>
            <w:r>
              <w:rPr>
                <w:rFonts w:hint="eastAsia"/>
                <w:sz w:val="24"/>
              </w:rPr>
              <w:t>、</w:t>
            </w: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24</w:t>
            </w:r>
          </w:p>
        </w:tc>
        <w:tc>
          <w:tcPr>
            <w:tcW w:w="2590" w:type="dxa"/>
            <w:noWrap/>
            <w:vAlign w:val="center"/>
          </w:tcPr>
          <w:p>
            <w:pPr>
              <w:adjustRightInd w:val="0"/>
              <w:snapToGrid w:val="0"/>
              <w:spacing w:line="400" w:lineRule="exact"/>
              <w:rPr>
                <w:rFonts w:hint="eastAsia"/>
                <w:sz w:val="24"/>
              </w:rPr>
            </w:pPr>
            <w:r>
              <w:rPr>
                <w:rFonts w:hint="eastAsia"/>
                <w:sz w:val="24"/>
              </w:rPr>
              <w:t>推动高污染燃料替代。</w:t>
            </w:r>
          </w:p>
        </w:tc>
        <w:tc>
          <w:tcPr>
            <w:tcW w:w="5065" w:type="dxa"/>
            <w:noWrap/>
            <w:vAlign w:val="center"/>
          </w:tcPr>
          <w:p>
            <w:pPr>
              <w:adjustRightInd w:val="0"/>
              <w:snapToGrid w:val="0"/>
              <w:spacing w:line="400" w:lineRule="exact"/>
              <w:rPr>
                <w:rFonts w:hint="eastAsia"/>
                <w:sz w:val="24"/>
              </w:rPr>
            </w:pPr>
            <w:r>
              <w:rPr>
                <w:rFonts w:hint="eastAsia"/>
                <w:sz w:val="24"/>
              </w:rPr>
              <w:t>安全稳妥推进使用高污染燃料的工业炉窑改用工业余热、电能、天然气等，推动石油焦、重油等高污染燃料逐步替代。</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（九）推动货物运输清洁化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30"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25</w:t>
            </w:r>
          </w:p>
        </w:tc>
        <w:tc>
          <w:tcPr>
            <w:tcW w:w="2590" w:type="dxa"/>
            <w:vMerge w:val="restart"/>
            <w:noWrap/>
            <w:vAlign w:val="center"/>
          </w:tcPr>
          <w:p>
            <w:pPr>
              <w:adjustRightInd w:val="0"/>
              <w:snapToGrid w:val="0"/>
              <w:spacing w:line="400" w:lineRule="exact"/>
              <w:rPr>
                <w:rFonts w:hint="eastAsia"/>
                <w:sz w:val="24"/>
              </w:rPr>
            </w:pPr>
            <w:r>
              <w:rPr>
                <w:rFonts w:hint="eastAsia"/>
                <w:sz w:val="24"/>
              </w:rPr>
              <w:t>推动大宗货物清洁运输。</w:t>
            </w:r>
          </w:p>
        </w:tc>
        <w:tc>
          <w:tcPr>
            <w:tcW w:w="5065" w:type="dxa"/>
            <w:noWrap/>
            <w:vAlign w:val="center"/>
          </w:tcPr>
          <w:p>
            <w:pPr>
              <w:adjustRightInd w:val="0"/>
              <w:snapToGrid w:val="0"/>
              <w:spacing w:line="400" w:lineRule="exact"/>
              <w:rPr>
                <w:rFonts w:hint="eastAsia"/>
                <w:sz w:val="24"/>
              </w:rPr>
            </w:pPr>
            <w:r>
              <w:rPr>
                <w:rFonts w:hint="eastAsia"/>
                <w:sz w:val="24"/>
              </w:rPr>
              <w:t>大宗货物中长距离运输优先采用铁路、水路运输，短距离运输优先采用封闭式皮带廊道或新能源车船。</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88"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新建矿山原则上要建设或接入铁路专用线或采用其他清洁运输方式。</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市水务局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市自然资源和规划局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推进大宗货物“散改集”，集装箱铁水联运量力争年均增长15%。</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25"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26</w:t>
            </w:r>
          </w:p>
        </w:tc>
        <w:tc>
          <w:tcPr>
            <w:tcW w:w="2590" w:type="dxa"/>
            <w:vMerge w:val="restart"/>
            <w:noWrap/>
            <w:vAlign w:val="center"/>
          </w:tcPr>
          <w:p>
            <w:pPr>
              <w:adjustRightInd w:val="0"/>
              <w:snapToGrid w:val="0"/>
              <w:spacing w:line="400" w:lineRule="exact"/>
              <w:rPr>
                <w:rFonts w:hint="eastAsia"/>
                <w:sz w:val="24"/>
              </w:rPr>
            </w:pPr>
            <w:r>
              <w:rPr>
                <w:rFonts w:hint="eastAsia"/>
                <w:sz w:val="24"/>
              </w:rPr>
              <w:t>推进多式联运。</w:t>
            </w:r>
          </w:p>
        </w:tc>
        <w:tc>
          <w:tcPr>
            <w:tcW w:w="5065" w:type="dxa"/>
            <w:noWrap/>
            <w:vAlign w:val="center"/>
          </w:tcPr>
          <w:p>
            <w:pPr>
              <w:adjustRightInd w:val="0"/>
              <w:snapToGrid w:val="0"/>
              <w:spacing w:line="400" w:lineRule="exact"/>
              <w:rPr>
                <w:rFonts w:hint="eastAsia"/>
                <w:sz w:val="24"/>
              </w:rPr>
            </w:pPr>
            <w:r>
              <w:rPr>
                <w:rFonts w:hint="eastAsia"/>
                <w:sz w:val="24"/>
              </w:rPr>
              <w:t>加快建设多式联运示范工程，推进实施</w:t>
            </w:r>
            <w:r>
              <w:rPr>
                <w:rFonts w:hint="eastAsia"/>
                <w:sz w:val="24"/>
                <w:lang w:val="en-US" w:eastAsia="zh-CN"/>
              </w:rPr>
              <w:t>XX</w:t>
            </w:r>
            <w:r>
              <w:rPr>
                <w:rFonts w:hint="eastAsia"/>
                <w:sz w:val="24"/>
              </w:rPr>
              <w:t>个国家级、</w:t>
            </w:r>
            <w:r>
              <w:rPr>
                <w:rFonts w:hint="eastAsia"/>
                <w:sz w:val="24"/>
                <w:lang w:val="en-US" w:eastAsia="zh-CN"/>
              </w:rPr>
              <w:t>XX</w:t>
            </w:r>
            <w:r>
              <w:rPr>
                <w:rFonts w:hint="eastAsia"/>
                <w:sz w:val="24"/>
              </w:rPr>
              <w:t>个省级示范项目。</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25"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加快建设铁路物流基地，将铁路物流基地打造成与公路、水运高效衔接的多式联运中心。</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市自然资源和规划局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25"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到2025年，铁路、水路货运量比2020年分别增长10%和12%左右。</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98"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27</w:t>
            </w:r>
          </w:p>
        </w:tc>
        <w:tc>
          <w:tcPr>
            <w:tcW w:w="2590" w:type="dxa"/>
            <w:vMerge w:val="restart"/>
            <w:noWrap/>
            <w:vAlign w:val="center"/>
          </w:tcPr>
          <w:p>
            <w:pPr>
              <w:adjustRightInd w:val="0"/>
              <w:snapToGrid w:val="0"/>
              <w:spacing w:line="400" w:lineRule="exact"/>
              <w:rPr>
                <w:rFonts w:hint="eastAsia"/>
                <w:sz w:val="24"/>
              </w:rPr>
            </w:pPr>
            <w:r>
              <w:rPr>
                <w:rFonts w:hint="eastAsia"/>
                <w:sz w:val="24"/>
              </w:rPr>
              <w:t>提高重点行业清洁运输比例。</w:t>
            </w:r>
          </w:p>
        </w:tc>
        <w:tc>
          <w:tcPr>
            <w:tcW w:w="5065" w:type="dxa"/>
            <w:noWrap/>
            <w:vAlign w:val="center"/>
          </w:tcPr>
          <w:p>
            <w:pPr>
              <w:adjustRightInd w:val="0"/>
              <w:snapToGrid w:val="0"/>
              <w:spacing w:line="400" w:lineRule="exact"/>
              <w:rPr>
                <w:rFonts w:hint="eastAsia"/>
                <w:sz w:val="24"/>
              </w:rPr>
            </w:pPr>
            <w:r>
              <w:rPr>
                <w:rFonts w:hint="eastAsia"/>
                <w:sz w:val="24"/>
              </w:rPr>
              <w:t>将清洁运输作为煤矿、火电、水泥、有色、焦化、煤化工等行业新改扩建项目审核和监管重点。</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98"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到2025年，煤炭、焦化、火电、有色等行业清洁运输（含新能源车）比例达到80%；建材（含砂石骨料）清洁运输比例达到60%。</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市交通运输局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09"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28</w:t>
            </w:r>
          </w:p>
        </w:tc>
        <w:tc>
          <w:tcPr>
            <w:tcW w:w="2590" w:type="dxa"/>
            <w:vMerge w:val="restart"/>
            <w:noWrap/>
            <w:vAlign w:val="center"/>
          </w:tcPr>
          <w:p>
            <w:pPr>
              <w:adjustRightInd w:val="0"/>
              <w:snapToGrid w:val="0"/>
              <w:spacing w:line="400" w:lineRule="exact"/>
              <w:rPr>
                <w:rFonts w:hint="eastAsia"/>
                <w:sz w:val="24"/>
              </w:rPr>
            </w:pPr>
            <w:r>
              <w:rPr>
                <w:rFonts w:hint="eastAsia"/>
                <w:sz w:val="24"/>
              </w:rPr>
              <w:t>加强铁路专用线和联运转运衔接设施建设。</w:t>
            </w:r>
          </w:p>
        </w:tc>
        <w:tc>
          <w:tcPr>
            <w:tcW w:w="5065" w:type="dxa"/>
            <w:noWrap/>
            <w:vAlign w:val="center"/>
          </w:tcPr>
          <w:p>
            <w:pPr>
              <w:adjustRightInd w:val="0"/>
              <w:snapToGrid w:val="0"/>
              <w:spacing w:line="400" w:lineRule="exact"/>
              <w:rPr>
                <w:rFonts w:hint="eastAsia"/>
                <w:sz w:val="24"/>
              </w:rPr>
            </w:pPr>
            <w:r>
              <w:rPr>
                <w:rFonts w:hint="eastAsia"/>
                <w:sz w:val="24"/>
              </w:rPr>
              <w:t>强化重点港区疏港铁路、干线铁路、码头堆场的相互衔接布局。最大程度发挥既有线路效能，精准补齐工矿企业、港口、物流园区铁路专用线短板。重要港区在新建集装箱、大宗干散货作业区时，原则上同步规划建设进港铁路；扩大现有作业区铁路运输能力。</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市自然资源和规划局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68"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对重点区域城市铁路场站进行适货化改造，向产业集群、大宗物资主产区和交易中心延伸。新建及迁建大宗货物年运量150万吨以上的物流园区、工矿企业和储煤基地，原则上接入铁路专用线或管道。强化土地利用、验收投运、运力调配、铁路运价等措施保障。</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市自然资源和规划局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（十）强化新能源车辆推广和汽车排放监管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82"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29</w:t>
            </w:r>
          </w:p>
        </w:tc>
        <w:tc>
          <w:tcPr>
            <w:tcW w:w="2590" w:type="dxa"/>
            <w:vMerge w:val="restart"/>
            <w:noWrap/>
            <w:vAlign w:val="center"/>
          </w:tcPr>
          <w:p>
            <w:pPr>
              <w:adjustRightInd w:val="0"/>
              <w:snapToGrid w:val="0"/>
              <w:spacing w:line="400" w:lineRule="exact"/>
              <w:rPr>
                <w:rFonts w:hint="eastAsia"/>
                <w:sz w:val="24"/>
              </w:rPr>
            </w:pPr>
            <w:r>
              <w:rPr>
                <w:rFonts w:hint="eastAsia"/>
                <w:sz w:val="24"/>
              </w:rPr>
              <w:t>在公共领域推广使用新能源汽车。</w:t>
            </w:r>
          </w:p>
        </w:tc>
        <w:tc>
          <w:tcPr>
            <w:tcW w:w="5065" w:type="dxa"/>
            <w:noWrap/>
            <w:vAlign w:val="center"/>
          </w:tcPr>
          <w:p>
            <w:pPr>
              <w:adjustRightInd w:val="0"/>
              <w:snapToGrid w:val="0"/>
              <w:spacing w:line="400" w:lineRule="exact"/>
              <w:rPr>
                <w:rFonts w:hint="eastAsia"/>
                <w:sz w:val="24"/>
              </w:rPr>
            </w:pPr>
            <w:r>
              <w:rPr>
                <w:rFonts w:hint="eastAsia"/>
                <w:sz w:val="24"/>
              </w:rPr>
              <w:t>新增或更新公交车辆（应急车辆除外）原则上全部使用新能源汽车。</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74"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党政机关、事业单位新增及更新公务用车（除特殊地理环境、特别用途等因素外）全部购置新能源汽车。新增或更新的出租、城市物流配送、轻型环卫等车辆中，新能源汽车比例不低于80%。加快淘汰采用稀薄燃烧技术的燃气货车。</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市生态环境局</w:t>
            </w:r>
            <w:r>
              <w:rPr>
                <w:rFonts w:hint="eastAsia"/>
                <w:sz w:val="24"/>
              </w:rPr>
              <w:t>、</w:t>
            </w:r>
            <w:r>
              <w:rPr>
                <w:rFonts w:hint="eastAsia"/>
                <w:sz w:val="24"/>
                <w:lang w:eastAsia="zh-CN"/>
              </w:rPr>
              <w:t>市</w:t>
            </w:r>
            <w:r>
              <w:rPr>
                <w:rFonts w:hint="eastAsia"/>
                <w:sz w:val="24"/>
              </w:rPr>
              <w:t>管局、</w:t>
            </w:r>
            <w:r>
              <w:rPr>
                <w:rFonts w:hint="eastAsia"/>
                <w:sz w:val="24"/>
                <w:lang w:eastAsia="zh-CN"/>
              </w:rPr>
              <w:t>市</w:t>
            </w:r>
            <w:r>
              <w:rPr>
                <w:rFonts w:hint="eastAsia"/>
                <w:sz w:val="24"/>
              </w:rPr>
              <w:t>邮政管理局、</w:t>
            </w:r>
            <w:r>
              <w:rPr>
                <w:rFonts w:hint="eastAsia"/>
                <w:sz w:val="24"/>
                <w:lang w:eastAsia="zh-CN"/>
              </w:rPr>
              <w:t>市财政局</w:t>
            </w:r>
            <w:r>
              <w:rPr>
                <w:rFonts w:hint="eastAsia"/>
                <w:sz w:val="24"/>
              </w:rPr>
              <w:t>、</w:t>
            </w:r>
            <w:r>
              <w:rPr>
                <w:rFonts w:hint="eastAsia"/>
                <w:sz w:val="24"/>
                <w:lang w:eastAsia="zh-CN"/>
              </w:rPr>
              <w:t>市住房城乡建设局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8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30</w:t>
            </w:r>
          </w:p>
        </w:tc>
        <w:tc>
          <w:tcPr>
            <w:tcW w:w="2590" w:type="dxa"/>
            <w:noWrap/>
            <w:vAlign w:val="center"/>
          </w:tcPr>
          <w:p>
            <w:pPr>
              <w:adjustRightInd w:val="0"/>
              <w:snapToGrid w:val="0"/>
              <w:spacing w:line="400" w:lineRule="exact"/>
              <w:rPr>
                <w:rFonts w:hint="eastAsia"/>
                <w:sz w:val="24"/>
              </w:rPr>
            </w:pPr>
            <w:r>
              <w:rPr>
                <w:rFonts w:hint="eastAsia"/>
                <w:sz w:val="24"/>
              </w:rPr>
              <w:t>推广使用新能源运输车辆。</w:t>
            </w:r>
          </w:p>
        </w:tc>
        <w:tc>
          <w:tcPr>
            <w:tcW w:w="5065" w:type="dxa"/>
            <w:noWrap/>
            <w:vAlign w:val="center"/>
          </w:tcPr>
          <w:p>
            <w:pPr>
              <w:adjustRightInd w:val="0"/>
              <w:snapToGrid w:val="0"/>
              <w:spacing w:line="400" w:lineRule="exact"/>
              <w:rPr>
                <w:rFonts w:hint="eastAsia"/>
                <w:sz w:val="24"/>
              </w:rPr>
            </w:pPr>
            <w:r>
              <w:rPr>
                <w:rFonts w:hint="eastAsia"/>
                <w:sz w:val="24"/>
              </w:rPr>
              <w:t>支持清洁运输企业发展，在火电、煤炭、焦化、有色、水泥等行业和物流园区推广使用新能源中重型货车，发展零排放货运车队。在中心城区先行开展新能源渣土车推广试点工作，引导新建重点建设项目全面推广使用新能源渣土车；推动省、市属国有企业先行推进运输车辆新能源化。</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市交通运输局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市公安局</w:t>
            </w:r>
            <w:r>
              <w:rPr>
                <w:rFonts w:hint="eastAsia"/>
                <w:sz w:val="24"/>
              </w:rPr>
              <w:t>、</w:t>
            </w:r>
            <w:r>
              <w:rPr>
                <w:rFonts w:hint="eastAsia"/>
                <w:sz w:val="24"/>
                <w:lang w:eastAsia="zh-CN"/>
              </w:rPr>
              <w:t>市财政局、市生态环境局</w:t>
            </w:r>
            <w:r>
              <w:rPr>
                <w:rFonts w:hint="eastAsia"/>
                <w:sz w:val="24"/>
              </w:rPr>
              <w:t>、</w:t>
            </w:r>
            <w:r>
              <w:rPr>
                <w:rFonts w:hint="eastAsia"/>
                <w:sz w:val="24"/>
                <w:lang w:eastAsia="zh-CN"/>
              </w:rPr>
              <w:t>市住房城乡建设局</w:t>
            </w:r>
            <w:r>
              <w:rPr>
                <w:rFonts w:hint="eastAsia"/>
                <w:sz w:val="24"/>
              </w:rPr>
              <w:t>等按职责分工负责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88"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31</w:t>
            </w:r>
          </w:p>
        </w:tc>
        <w:tc>
          <w:tcPr>
            <w:tcW w:w="2590" w:type="dxa"/>
            <w:noWrap/>
            <w:vAlign w:val="center"/>
          </w:tcPr>
          <w:p>
            <w:pPr>
              <w:adjustRightInd w:val="0"/>
              <w:snapToGrid w:val="0"/>
              <w:spacing w:line="400" w:lineRule="exact"/>
              <w:rPr>
                <w:rFonts w:hint="eastAsia"/>
                <w:sz w:val="24"/>
              </w:rPr>
            </w:pPr>
            <w:r>
              <w:rPr>
                <w:rFonts w:hint="eastAsia"/>
                <w:sz w:val="24"/>
              </w:rPr>
              <w:t>加快高速服务区快充站建设。</w:t>
            </w:r>
          </w:p>
        </w:tc>
        <w:tc>
          <w:tcPr>
            <w:tcW w:w="5065" w:type="dxa"/>
            <w:noWrap/>
            <w:vAlign w:val="center"/>
          </w:tcPr>
          <w:p>
            <w:pPr>
              <w:adjustRightInd w:val="0"/>
              <w:snapToGrid w:val="0"/>
              <w:spacing w:line="400" w:lineRule="exact"/>
              <w:rPr>
                <w:rFonts w:hint="eastAsia"/>
                <w:sz w:val="24"/>
              </w:rPr>
            </w:pPr>
            <w:r>
              <w:rPr>
                <w:rFonts w:hint="eastAsia"/>
                <w:sz w:val="24"/>
              </w:rPr>
              <w:t>完善充电基础设施建设，力争到2025年，重点区域高速服务区快充站覆盖率不低于80%，其他地区不低于60%。</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34"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32</w:t>
            </w:r>
          </w:p>
        </w:tc>
        <w:tc>
          <w:tcPr>
            <w:tcW w:w="2590" w:type="dxa"/>
            <w:noWrap/>
            <w:vAlign w:val="center"/>
          </w:tcPr>
          <w:p>
            <w:pPr>
              <w:adjustRightInd w:val="0"/>
              <w:snapToGrid w:val="0"/>
              <w:spacing w:line="400" w:lineRule="exact"/>
              <w:rPr>
                <w:rFonts w:hint="eastAsia"/>
                <w:sz w:val="24"/>
              </w:rPr>
            </w:pPr>
            <w:r>
              <w:rPr>
                <w:rFonts w:hint="eastAsia"/>
                <w:sz w:val="24"/>
              </w:rPr>
              <w:t>加强货车排放情况监督抽查。</w:t>
            </w:r>
          </w:p>
        </w:tc>
        <w:tc>
          <w:tcPr>
            <w:tcW w:w="5065" w:type="dxa"/>
            <w:noWrap/>
            <w:vAlign w:val="center"/>
          </w:tcPr>
          <w:p>
            <w:pPr>
              <w:adjustRightInd w:val="0"/>
              <w:snapToGrid w:val="0"/>
              <w:spacing w:line="400" w:lineRule="exact"/>
              <w:rPr>
                <w:rFonts w:hint="eastAsia"/>
                <w:sz w:val="24"/>
              </w:rPr>
            </w:pPr>
            <w:r>
              <w:rPr>
                <w:rFonts w:hint="eastAsia"/>
                <w:sz w:val="24"/>
              </w:rPr>
              <w:t>强化新生产、销售货车监督抽查，每年核查车辆的车载诊断系统（OBD）、污染控制装置、环保信息随车清单、在线监控等，抽查部分车型的道路实施排放情况，实现系族全覆盖。严厉打击污染控制装置造假、尾气排放不达标等行为，加强重型货车路检路查和入户检查。鼓励开展燃油蒸发排放控制检测。</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市市场监管局</w:t>
            </w:r>
            <w:r>
              <w:rPr>
                <w:rFonts w:hint="eastAsia"/>
                <w:sz w:val="24"/>
              </w:rPr>
              <w:t>、</w:t>
            </w:r>
            <w:r>
              <w:rPr>
                <w:rFonts w:hint="eastAsia"/>
                <w:sz w:val="24"/>
                <w:lang w:eastAsia="zh-CN"/>
              </w:rPr>
              <w:t>市公安局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9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33</w:t>
            </w:r>
          </w:p>
        </w:tc>
        <w:tc>
          <w:tcPr>
            <w:tcW w:w="2590" w:type="dxa"/>
            <w:noWrap/>
            <w:vAlign w:val="center"/>
          </w:tcPr>
          <w:p>
            <w:pPr>
              <w:adjustRightInd w:val="0"/>
              <w:snapToGrid w:val="0"/>
              <w:spacing w:line="400" w:lineRule="exact"/>
              <w:rPr>
                <w:rFonts w:hint="eastAsia"/>
                <w:sz w:val="24"/>
              </w:rPr>
            </w:pPr>
            <w:r>
              <w:rPr>
                <w:rFonts w:hint="eastAsia"/>
                <w:sz w:val="24"/>
              </w:rPr>
              <w:t>加强汽车排放检验机构监管。</w:t>
            </w:r>
          </w:p>
        </w:tc>
        <w:tc>
          <w:tcPr>
            <w:tcW w:w="5065" w:type="dxa"/>
            <w:noWrap/>
            <w:vAlign w:val="center"/>
          </w:tcPr>
          <w:p>
            <w:pPr>
              <w:adjustRightInd w:val="0"/>
              <w:snapToGrid w:val="0"/>
              <w:spacing w:line="400" w:lineRule="exact"/>
              <w:rPr>
                <w:rFonts w:hint="eastAsia"/>
                <w:sz w:val="24"/>
              </w:rPr>
            </w:pPr>
            <w:r>
              <w:rPr>
                <w:rFonts w:hint="eastAsia"/>
                <w:sz w:val="24"/>
              </w:rPr>
              <w:t>全面实施汽车排放检验与维护制度和机动车排放召回制度，强化对机动车排放检验机构的监管执法，严厉打击篡改破坏OBD系统、采用临时更换污染控制装置等弄虚作假方式通过排放检验的行为。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（十一）加快非道路移动源综合治理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2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34</w:t>
            </w:r>
          </w:p>
        </w:tc>
        <w:tc>
          <w:tcPr>
            <w:tcW w:w="2590" w:type="dxa"/>
            <w:noWrap/>
            <w:vAlign w:val="center"/>
          </w:tcPr>
          <w:p>
            <w:pPr>
              <w:adjustRightInd w:val="0"/>
              <w:snapToGrid w:val="0"/>
              <w:spacing w:line="400" w:lineRule="exact"/>
              <w:rPr>
                <w:rFonts w:hint="eastAsia"/>
                <w:sz w:val="24"/>
              </w:rPr>
            </w:pPr>
            <w:r>
              <w:rPr>
                <w:rFonts w:hint="eastAsia"/>
                <w:sz w:val="24"/>
              </w:rPr>
              <w:t>加快推进作业车辆和机械新能源化。</w:t>
            </w:r>
          </w:p>
        </w:tc>
        <w:tc>
          <w:tcPr>
            <w:tcW w:w="5065" w:type="dxa"/>
            <w:noWrap/>
            <w:vAlign w:val="center"/>
          </w:tcPr>
          <w:p>
            <w:pPr>
              <w:adjustRightInd w:val="0"/>
              <w:snapToGrid w:val="0"/>
              <w:spacing w:line="400" w:lineRule="exact"/>
              <w:rPr>
                <w:rFonts w:hint="eastAsia"/>
                <w:sz w:val="24"/>
              </w:rPr>
            </w:pPr>
            <w:r>
              <w:rPr>
                <w:rFonts w:hint="eastAsia"/>
                <w:sz w:val="24"/>
              </w:rPr>
              <w:t>加快推进铁路货场、物流园区、港口、机场、工矿企业新增或更新的作业车辆和机械新能源化。新建港口优先使用新能源非道路移动机械。鼓励更换国四及以上排放标准的发动机，鼓励农户积极淘汰老旧农业机械。</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市农业农村局</w:t>
            </w:r>
            <w:r>
              <w:rPr>
                <w:rFonts w:hint="eastAsia"/>
                <w:sz w:val="24"/>
              </w:rPr>
              <w:t>、</w:t>
            </w:r>
            <w:r>
              <w:rPr>
                <w:rFonts w:hint="eastAsia"/>
                <w:sz w:val="24"/>
                <w:lang w:eastAsia="zh-CN"/>
              </w:rPr>
              <w:t>市市场监管局</w:t>
            </w:r>
            <w:r>
              <w:rPr>
                <w:rFonts w:hint="eastAsia"/>
                <w:sz w:val="24"/>
              </w:rPr>
              <w:t>、</w:t>
            </w: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60"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35</w:t>
            </w:r>
          </w:p>
        </w:tc>
        <w:tc>
          <w:tcPr>
            <w:tcW w:w="2590" w:type="dxa"/>
            <w:vMerge w:val="restart"/>
            <w:noWrap/>
            <w:vAlign w:val="center"/>
          </w:tcPr>
          <w:p>
            <w:pPr>
              <w:adjustRightInd w:val="0"/>
              <w:snapToGrid w:val="0"/>
              <w:spacing w:line="400" w:lineRule="exact"/>
              <w:rPr>
                <w:rFonts w:hint="eastAsia"/>
                <w:sz w:val="24"/>
              </w:rPr>
            </w:pPr>
            <w:r>
              <w:rPr>
                <w:rFonts w:hint="eastAsia"/>
                <w:sz w:val="24"/>
              </w:rPr>
              <w:t>推动发展新能源和清洁能源船舶。</w:t>
            </w:r>
          </w:p>
        </w:tc>
        <w:tc>
          <w:tcPr>
            <w:tcW w:w="5065" w:type="dxa"/>
            <w:noWrap/>
            <w:vAlign w:val="center"/>
          </w:tcPr>
          <w:p>
            <w:pPr>
              <w:adjustRightInd w:val="0"/>
              <w:snapToGrid w:val="0"/>
              <w:spacing w:line="400" w:lineRule="exact"/>
              <w:rPr>
                <w:rFonts w:hint="eastAsia"/>
                <w:sz w:val="24"/>
              </w:rPr>
            </w:pPr>
            <w:r>
              <w:rPr>
                <w:rFonts w:hint="eastAsia"/>
                <w:sz w:val="24"/>
              </w:rPr>
              <w:t>开展内河船舶绿色智能创新发展试点，推动电池、LNG、甲醇、氢等绿色动力在船舶上应用。新建公务船全部使用绿色智能船舶，逐步对现有公务船进行绿色改造。</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依法淘汰高能耗高排放老旧船舶，加快港口岸电设施和船舶受电设施建设及改造，提高岸电使用率。</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6"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36</w:t>
            </w:r>
          </w:p>
        </w:tc>
        <w:tc>
          <w:tcPr>
            <w:tcW w:w="2590" w:type="dxa"/>
            <w:vMerge w:val="restart"/>
            <w:noWrap/>
            <w:vAlign w:val="center"/>
          </w:tcPr>
          <w:p>
            <w:pPr>
              <w:adjustRightInd w:val="0"/>
              <w:snapToGrid w:val="0"/>
              <w:spacing w:line="400" w:lineRule="exact"/>
              <w:rPr>
                <w:rFonts w:hint="eastAsia"/>
                <w:sz w:val="24"/>
              </w:rPr>
            </w:pPr>
            <w:r>
              <w:rPr>
                <w:rFonts w:hint="eastAsia"/>
                <w:sz w:val="24"/>
              </w:rPr>
              <w:t>推广新能源铁路装备。</w:t>
            </w:r>
          </w:p>
        </w:tc>
        <w:tc>
          <w:tcPr>
            <w:tcW w:w="5065" w:type="dxa"/>
            <w:noWrap/>
            <w:vAlign w:val="center"/>
          </w:tcPr>
          <w:p>
            <w:pPr>
              <w:adjustRightInd w:val="0"/>
              <w:snapToGrid w:val="0"/>
              <w:spacing w:line="400" w:lineRule="exact"/>
              <w:rPr>
                <w:rFonts w:hint="eastAsia"/>
                <w:sz w:val="24"/>
              </w:rPr>
            </w:pPr>
            <w:r>
              <w:rPr>
                <w:rFonts w:hint="eastAsia"/>
                <w:sz w:val="24"/>
              </w:rPr>
              <w:t>大力推动老旧铁路机车淘汰，鼓励中心城市铁路站场及煤炭、钢铁、冶金等行业推广新能源铁路装备。</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70" w:type="dxa"/>
            <w:gridSpan w:val="2"/>
            <w:noWrap/>
            <w:vAlign w:val="center"/>
          </w:tcPr>
          <w:p>
            <w:pPr>
              <w:adjustRightInd w:val="0"/>
              <w:snapToGrid w:val="0"/>
              <w:spacing w:line="400" w:lineRule="exact"/>
              <w:rPr>
                <w:rFonts w:hint="eastAsia"/>
                <w:sz w:val="24"/>
              </w:rPr>
            </w:pPr>
            <w:r>
              <w:rPr>
                <w:rFonts w:hint="eastAsia"/>
                <w:sz w:val="24"/>
                <w:lang w:eastAsia="zh-CN" w:bidi="ar"/>
              </w:rPr>
              <w:t>市发展改革委</w:t>
            </w:r>
          </w:p>
        </w:tc>
        <w:tc>
          <w:tcPr>
            <w:tcW w:w="2270" w:type="dxa"/>
            <w:noWrap/>
            <w:vAlign w:val="center"/>
          </w:tcPr>
          <w:p>
            <w:pPr>
              <w:adjustRightInd w:val="0"/>
              <w:snapToGrid w:val="0"/>
              <w:spacing w:line="400" w:lineRule="exact"/>
              <w:rPr>
                <w:rFonts w:hint="eastAsia"/>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5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到2025年，消除非道路移动机械、船舶及重点区域铁路机车“冒黑烟”现象，基本淘汰第一阶段及以下排放标准的非道路移动机械。</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市财政局</w:t>
            </w:r>
            <w:r>
              <w:rPr>
                <w:rFonts w:hint="eastAsia"/>
                <w:sz w:val="24"/>
              </w:rPr>
              <w:t>、</w:t>
            </w:r>
            <w:r>
              <w:rPr>
                <w:rFonts w:hint="eastAsia"/>
                <w:sz w:val="24"/>
                <w:lang w:eastAsia="zh-CN"/>
              </w:rPr>
              <w:t>市农业农村局</w:t>
            </w:r>
            <w:r>
              <w:rPr>
                <w:rFonts w:hint="eastAsia"/>
                <w:sz w:val="24"/>
              </w:rPr>
              <w:t>、</w:t>
            </w:r>
            <w:r>
              <w:rPr>
                <w:rFonts w:hint="eastAsia"/>
                <w:sz w:val="24"/>
                <w:lang w:eastAsia="zh-CN"/>
              </w:rPr>
              <w:t>市市场监管局</w:t>
            </w:r>
            <w:r>
              <w:rPr>
                <w:rFonts w:hint="eastAsia"/>
                <w:sz w:val="24"/>
              </w:rPr>
              <w:t>、</w:t>
            </w:r>
            <w:r>
              <w:rPr>
                <w:rFonts w:hint="eastAsia"/>
                <w:sz w:val="24"/>
                <w:lang w:eastAsia="zh-CN"/>
              </w:rPr>
              <w:t>市住房城乡建设局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（十二）加强成品油质量监管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49"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lang w:eastAsia="zh-CN"/>
              </w:rPr>
            </w:pPr>
            <w:r>
              <w:rPr>
                <w:rFonts w:hint="eastAsia" w:eastAsia="方正楷体_GBK"/>
                <w:sz w:val="24"/>
              </w:rPr>
              <w:t>3</w:t>
            </w:r>
            <w:r>
              <w:rPr>
                <w:rFonts w:hint="eastAsia" w:eastAsia="方正楷体_GBK"/>
                <w:sz w:val="24"/>
                <w:lang w:val="en-US" w:eastAsia="zh-CN"/>
              </w:rPr>
              <w:t>7</w:t>
            </w:r>
          </w:p>
        </w:tc>
        <w:tc>
          <w:tcPr>
            <w:tcW w:w="2590" w:type="dxa"/>
            <w:vMerge w:val="restart"/>
            <w:noWrap/>
            <w:vAlign w:val="center"/>
          </w:tcPr>
          <w:p>
            <w:pPr>
              <w:adjustRightInd w:val="0"/>
              <w:snapToGrid w:val="0"/>
              <w:spacing w:line="400" w:lineRule="exact"/>
              <w:rPr>
                <w:rFonts w:hint="eastAsia"/>
                <w:sz w:val="24"/>
              </w:rPr>
            </w:pPr>
            <w:r>
              <w:rPr>
                <w:rFonts w:hint="eastAsia"/>
                <w:sz w:val="24"/>
              </w:rPr>
              <w:t>强化油品全环节监管。</w:t>
            </w:r>
          </w:p>
        </w:tc>
        <w:tc>
          <w:tcPr>
            <w:tcW w:w="5065" w:type="dxa"/>
            <w:noWrap/>
            <w:vAlign w:val="center"/>
          </w:tcPr>
          <w:p>
            <w:pPr>
              <w:adjustRightInd w:val="0"/>
              <w:snapToGrid w:val="0"/>
              <w:spacing w:line="400" w:lineRule="exact"/>
              <w:rPr>
                <w:rFonts w:hint="eastAsia"/>
                <w:sz w:val="24"/>
              </w:rPr>
            </w:pPr>
            <w:r>
              <w:rPr>
                <w:rFonts w:hint="eastAsia"/>
                <w:sz w:val="24"/>
              </w:rPr>
              <w:t>加强油品进口、生产、仓储、销售、运输、使用全环节监管，全面清理整顿证照不全的自建油罐、流动加油车（船）和黑加油站点。开展打击非标油品专项行动，坚决打击将非标油品作为发动机燃料销售等行为。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市市场监管局</w:t>
            </w:r>
            <w:r>
              <w:rPr>
                <w:rFonts w:hint="eastAsia"/>
                <w:sz w:val="24"/>
              </w:rPr>
              <w:t>、</w:t>
            </w:r>
            <w:r>
              <w:rPr>
                <w:rFonts w:hint="eastAsia"/>
                <w:sz w:val="24"/>
                <w:lang w:eastAsia="zh-CN"/>
              </w:rPr>
              <w:t>市商务局</w:t>
            </w:r>
            <w:r>
              <w:rPr>
                <w:rFonts w:hint="eastAsia"/>
                <w:sz w:val="24"/>
              </w:rPr>
              <w:t>、</w:t>
            </w:r>
            <w:r>
              <w:rPr>
                <w:rFonts w:hint="eastAsia"/>
                <w:sz w:val="24"/>
                <w:lang w:eastAsia="zh-CN"/>
              </w:rPr>
              <w:t>市发展改革委</w:t>
            </w:r>
            <w:r>
              <w:rPr>
                <w:rFonts w:hint="eastAsia"/>
                <w:sz w:val="24"/>
              </w:rPr>
              <w:t>、</w:t>
            </w:r>
            <w:r>
              <w:rPr>
                <w:rFonts w:hint="eastAsia"/>
                <w:sz w:val="24"/>
                <w:lang w:eastAsia="zh-CN"/>
              </w:rPr>
              <w:t>市生态环境局</w:t>
            </w:r>
            <w:r>
              <w:rPr>
                <w:rFonts w:hint="eastAsia"/>
                <w:sz w:val="24"/>
              </w:rPr>
              <w:t>、</w:t>
            </w:r>
            <w:r>
              <w:rPr>
                <w:rFonts w:hint="eastAsia"/>
                <w:sz w:val="24"/>
                <w:lang w:eastAsia="zh-CN"/>
              </w:rPr>
              <w:t>市公安局</w:t>
            </w:r>
            <w:r>
              <w:rPr>
                <w:rFonts w:hint="eastAsia"/>
                <w:sz w:val="24"/>
              </w:rPr>
              <w:t>、</w:t>
            </w:r>
            <w:r>
              <w:rPr>
                <w:rFonts w:hint="eastAsia"/>
                <w:sz w:val="24"/>
                <w:lang w:eastAsia="zh-CN"/>
              </w:rPr>
              <w:t>市应急管理局</w:t>
            </w:r>
            <w:r>
              <w:rPr>
                <w:rFonts w:hint="eastAsia"/>
                <w:sz w:val="24"/>
              </w:rPr>
              <w:t>等按职责分工负责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落实成品油行业常态化跨部门综合监管。</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34"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依法查处制售质量不合格油品违法行为，实施全链条打击，涉嫌犯罪的及时移交司法部门。</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市市场监管局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市商务局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99" w:hRule="atLeast"/>
          <w:jc w:val="center"/>
        </w:trPr>
        <w:tc>
          <w:tcPr>
            <w:tcW w:w="694" w:type="dxa"/>
            <w:noWrap/>
            <w:vAlign w:val="center"/>
          </w:tcPr>
          <w:p>
            <w:pPr>
              <w:adjustRightInd w:val="0"/>
              <w:snapToGrid w:val="0"/>
              <w:spacing w:line="400" w:lineRule="exact"/>
              <w:jc w:val="center"/>
              <w:rPr>
                <w:rFonts w:hint="eastAsia" w:eastAsia="方正楷体_GBK"/>
                <w:sz w:val="24"/>
                <w:lang w:eastAsia="zh-CN"/>
              </w:rPr>
            </w:pPr>
            <w:r>
              <w:rPr>
                <w:rFonts w:hint="eastAsia" w:eastAsia="方正楷体_GBK"/>
                <w:sz w:val="24"/>
              </w:rPr>
              <w:t>3</w:t>
            </w:r>
            <w:r>
              <w:rPr>
                <w:rFonts w:hint="eastAsia" w:eastAsia="方正楷体_GBK"/>
                <w:sz w:val="24"/>
                <w:lang w:val="en-US" w:eastAsia="zh-CN"/>
              </w:rPr>
              <w:t>8</w:t>
            </w:r>
          </w:p>
        </w:tc>
        <w:tc>
          <w:tcPr>
            <w:tcW w:w="2590" w:type="dxa"/>
            <w:noWrap/>
            <w:vAlign w:val="center"/>
          </w:tcPr>
          <w:p>
            <w:pPr>
              <w:adjustRightInd w:val="0"/>
              <w:snapToGrid w:val="0"/>
              <w:spacing w:line="400" w:lineRule="exact"/>
              <w:rPr>
                <w:rFonts w:hint="eastAsia"/>
                <w:sz w:val="24"/>
              </w:rPr>
            </w:pPr>
            <w:r>
              <w:rPr>
                <w:rFonts w:hint="eastAsia"/>
                <w:sz w:val="24"/>
              </w:rPr>
              <w:t>加强油气回收系统抽查。</w:t>
            </w:r>
          </w:p>
        </w:tc>
        <w:tc>
          <w:tcPr>
            <w:tcW w:w="5065" w:type="dxa"/>
            <w:noWrap/>
            <w:vAlign w:val="center"/>
          </w:tcPr>
          <w:p>
            <w:pPr>
              <w:adjustRightInd w:val="0"/>
              <w:snapToGrid w:val="0"/>
              <w:spacing w:line="400" w:lineRule="exact"/>
              <w:rPr>
                <w:rFonts w:hint="eastAsia"/>
                <w:sz w:val="24"/>
              </w:rPr>
            </w:pPr>
            <w:r>
              <w:rPr>
                <w:rFonts w:hint="eastAsia"/>
                <w:sz w:val="24"/>
              </w:rPr>
              <w:t>加大加油站、储油库、油罐车油气回收系统抽查力度，有效控制卸油、储存、加油等环节污染。提高货车、非道路移动机械、船舶油箱中柴油抽测频次，对发现的问题线索进行溯源，严肃追究相关生产、销售、运输者主体责任。</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市商务局</w:t>
            </w:r>
            <w:r>
              <w:rPr>
                <w:rFonts w:hint="eastAsia"/>
                <w:sz w:val="24"/>
              </w:rPr>
              <w:t>、</w:t>
            </w:r>
            <w:r>
              <w:rPr>
                <w:rFonts w:hint="eastAsia"/>
                <w:sz w:val="24"/>
                <w:lang w:eastAsia="zh-CN"/>
              </w:rPr>
              <w:t>市市场监管局</w:t>
            </w:r>
            <w:r>
              <w:rPr>
                <w:rFonts w:hint="eastAsia"/>
                <w:sz w:val="24"/>
              </w:rPr>
              <w:t>、</w:t>
            </w:r>
            <w:r>
              <w:rPr>
                <w:rFonts w:hint="eastAsia"/>
                <w:sz w:val="24"/>
                <w:lang w:eastAsia="zh-CN"/>
              </w:rPr>
              <w:t>市交通运输局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（十三）加强建筑工地、道路扬尘污染和矿山综合治理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85"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40</w:t>
            </w:r>
          </w:p>
        </w:tc>
        <w:tc>
          <w:tcPr>
            <w:tcW w:w="2590" w:type="dxa"/>
            <w:vMerge w:val="restart"/>
            <w:noWrap/>
            <w:vAlign w:val="center"/>
          </w:tcPr>
          <w:p>
            <w:pPr>
              <w:adjustRightInd w:val="0"/>
              <w:snapToGrid w:val="0"/>
              <w:spacing w:line="400" w:lineRule="exact"/>
              <w:rPr>
                <w:rFonts w:hint="eastAsia"/>
                <w:sz w:val="24"/>
              </w:rPr>
            </w:pPr>
            <w:r>
              <w:rPr>
                <w:rFonts w:hint="eastAsia"/>
                <w:sz w:val="24"/>
              </w:rPr>
              <w:t>持续加强建筑工地扬尘监管。</w:t>
            </w:r>
          </w:p>
        </w:tc>
        <w:tc>
          <w:tcPr>
            <w:tcW w:w="5065" w:type="dxa"/>
            <w:noWrap/>
            <w:vAlign w:val="center"/>
          </w:tcPr>
          <w:p>
            <w:pPr>
              <w:adjustRightInd w:val="0"/>
              <w:snapToGrid w:val="0"/>
              <w:spacing w:line="400" w:lineRule="exact"/>
              <w:rPr>
                <w:rFonts w:hint="eastAsia"/>
                <w:sz w:val="24"/>
              </w:rPr>
            </w:pPr>
            <w:r>
              <w:rPr>
                <w:rFonts w:hint="eastAsia"/>
                <w:sz w:val="24"/>
              </w:rPr>
              <w:t>持续推动全</w:t>
            </w:r>
            <w:r>
              <w:rPr>
                <w:rFonts w:hint="eastAsia"/>
                <w:sz w:val="24"/>
                <w:lang w:eastAsia="zh-CN"/>
              </w:rPr>
              <w:t>市</w:t>
            </w:r>
            <w:r>
              <w:rPr>
                <w:rFonts w:hint="eastAsia"/>
                <w:sz w:val="24"/>
              </w:rPr>
              <w:t>10000平方米以上规模建筑工地安装视频监控并接入监管平台，到2025年底，安装接入率占比达到70%以上；鼓励城市主城区5000至10000平米的建筑工地安装视频监控并接入监管平台，力争到2025年底，安装接入率占比达40%以上。在城镇及人口聚集区，重点对车辆进出通道口、基坑、非道路移动机械施工现场等重点区域实现远程高清视频监控。道路、水务等长距离线性工程根据施工条件采取分段施工，对施工过程中易产生扬尘环节，落实洒水、冲洗、覆盖、密闭运输等抑尘措施。</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p>
        </w:tc>
        <w:tc>
          <w:tcPr>
            <w:tcW w:w="2276" w:type="dxa"/>
            <w:gridSpan w:val="2"/>
            <w:noWrap/>
            <w:vAlign w:val="center"/>
          </w:tcPr>
          <w:p>
            <w:pPr>
              <w:adjustRightInd w:val="0"/>
              <w:snapToGrid w:val="0"/>
              <w:spacing w:line="400" w:lineRule="exact"/>
              <w:rPr>
                <w:rFonts w:hint="eastAsia"/>
                <w:sz w:val="24"/>
              </w:rPr>
            </w:pPr>
            <w:r>
              <w:rPr>
                <w:rFonts w:hint="eastAsia"/>
                <w:sz w:val="24"/>
                <w:lang w:eastAsia="zh-CN"/>
              </w:rPr>
              <w:t>市生态环境局</w:t>
            </w:r>
            <w:r>
              <w:rPr>
                <w:rFonts w:hint="eastAsia"/>
                <w:sz w:val="24"/>
              </w:rPr>
              <w:t>、</w:t>
            </w:r>
            <w:r>
              <w:rPr>
                <w:rFonts w:hint="eastAsia"/>
                <w:sz w:val="24"/>
                <w:lang w:eastAsia="zh-CN"/>
              </w:rPr>
              <w:t>市交通运输局</w:t>
            </w:r>
            <w:r>
              <w:rPr>
                <w:rFonts w:hint="eastAsia"/>
                <w:sz w:val="24"/>
              </w:rPr>
              <w:t>、</w:t>
            </w:r>
            <w:r>
              <w:rPr>
                <w:rFonts w:hint="eastAsia"/>
                <w:sz w:val="24"/>
                <w:lang w:eastAsia="zh-CN"/>
              </w:rPr>
              <w:t>市水务局</w:t>
            </w:r>
            <w:r>
              <w:rPr>
                <w:rFonts w:hint="eastAsia"/>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6"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将防治扬尘污染费用列入安全文明施工措施费等工程造价不可竞争性费用，明确施工单位扬尘污染防治责任。</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p>
        </w:tc>
        <w:tc>
          <w:tcPr>
            <w:tcW w:w="2276" w:type="dxa"/>
            <w:gridSpan w:val="2"/>
            <w:noWrap/>
            <w:vAlign w:val="center"/>
          </w:tcPr>
          <w:p>
            <w:pPr>
              <w:adjustRightInd w:val="0"/>
              <w:snapToGrid w:val="0"/>
              <w:spacing w:line="400" w:lineRule="exact"/>
              <w:rPr>
                <w:rFonts w:hint="eastAsia"/>
                <w:sz w:val="24"/>
              </w:rPr>
            </w:pPr>
            <w:r>
              <w:rPr>
                <w:rFonts w:hint="eastAsia"/>
                <w:sz w:val="24"/>
                <w:lang w:eastAsia="zh-CN"/>
              </w:rPr>
              <w:t>市财政局</w:t>
            </w:r>
            <w:r>
              <w:rPr>
                <w:rFonts w:hint="eastAsia"/>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10"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施工单位要制定专项扬尘污染防治方案，监理单位要加强监督落实。施工单位拒不整改或者整改不到位的，监理单位要及时上报建设单位和有关行政主管部门。</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9"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41</w:t>
            </w:r>
          </w:p>
        </w:tc>
        <w:tc>
          <w:tcPr>
            <w:tcW w:w="2590" w:type="dxa"/>
            <w:noWrap/>
            <w:vAlign w:val="center"/>
          </w:tcPr>
          <w:p>
            <w:pPr>
              <w:adjustRightInd w:val="0"/>
              <w:snapToGrid w:val="0"/>
              <w:spacing w:line="400" w:lineRule="exact"/>
              <w:rPr>
                <w:rFonts w:hint="eastAsia"/>
                <w:sz w:val="24"/>
              </w:rPr>
            </w:pPr>
            <w:r>
              <w:rPr>
                <w:rFonts w:hint="eastAsia"/>
                <w:sz w:val="24"/>
              </w:rPr>
              <w:t>开展道路扬尘污染治理专项行动。</w:t>
            </w:r>
          </w:p>
        </w:tc>
        <w:tc>
          <w:tcPr>
            <w:tcW w:w="5065" w:type="dxa"/>
            <w:noWrap/>
            <w:vAlign w:val="center"/>
          </w:tcPr>
          <w:p>
            <w:pPr>
              <w:adjustRightInd w:val="0"/>
              <w:snapToGrid w:val="0"/>
              <w:spacing w:line="400" w:lineRule="exact"/>
              <w:rPr>
                <w:rFonts w:hint="eastAsia"/>
                <w:sz w:val="24"/>
              </w:rPr>
            </w:pPr>
            <w:r>
              <w:rPr>
                <w:rFonts w:hint="eastAsia"/>
                <w:sz w:val="24"/>
              </w:rPr>
              <w:t>开展道路扬尘污染专项治理，做好扬尘源头管控，强化运输车辆管理，加强路面维护保洁，提升道路扬尘治理管控标准化、规范化水平。</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市城管局、市生态环境局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市住房城乡建设局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22"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42</w:t>
            </w:r>
          </w:p>
        </w:tc>
        <w:tc>
          <w:tcPr>
            <w:tcW w:w="2590" w:type="dxa"/>
            <w:noWrap/>
            <w:vAlign w:val="center"/>
          </w:tcPr>
          <w:p>
            <w:pPr>
              <w:adjustRightInd w:val="0"/>
              <w:snapToGrid w:val="0"/>
              <w:spacing w:line="400" w:lineRule="exact"/>
              <w:rPr>
                <w:rFonts w:hint="eastAsia"/>
                <w:sz w:val="24"/>
              </w:rPr>
            </w:pPr>
            <w:r>
              <w:rPr>
                <w:rFonts w:hint="eastAsia"/>
                <w:sz w:val="24"/>
              </w:rPr>
              <w:t>推动装配式建筑发展。</w:t>
            </w:r>
          </w:p>
        </w:tc>
        <w:tc>
          <w:tcPr>
            <w:tcW w:w="5065" w:type="dxa"/>
            <w:noWrap/>
            <w:vAlign w:val="center"/>
          </w:tcPr>
          <w:p>
            <w:pPr>
              <w:adjustRightInd w:val="0"/>
              <w:snapToGrid w:val="0"/>
              <w:spacing w:line="400" w:lineRule="exact"/>
              <w:rPr>
                <w:rFonts w:hint="eastAsia"/>
                <w:sz w:val="24"/>
              </w:rPr>
            </w:pPr>
            <w:r>
              <w:rPr>
                <w:rFonts w:hint="eastAsia"/>
                <w:sz w:val="24"/>
              </w:rPr>
              <w:t>完善装配式建筑标准技术体系和评价体系，推动提升建筑品质，以装配化装修、标准化构件使用为重点，推动建筑业工业化、数字化、绿色化发展。到2025年，装配式建筑占新建建筑面积比例达40%以上。</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4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43</w:t>
            </w:r>
          </w:p>
        </w:tc>
        <w:tc>
          <w:tcPr>
            <w:tcW w:w="2590" w:type="dxa"/>
            <w:noWrap/>
            <w:vAlign w:val="center"/>
          </w:tcPr>
          <w:p>
            <w:pPr>
              <w:adjustRightInd w:val="0"/>
              <w:snapToGrid w:val="0"/>
              <w:spacing w:line="400" w:lineRule="exact"/>
              <w:rPr>
                <w:rFonts w:hint="eastAsia"/>
                <w:sz w:val="24"/>
              </w:rPr>
            </w:pPr>
            <w:r>
              <w:rPr>
                <w:rFonts w:hint="eastAsia"/>
                <w:sz w:val="24"/>
              </w:rPr>
              <w:t>提高城市道路保洁质量和效率。</w:t>
            </w:r>
          </w:p>
        </w:tc>
        <w:tc>
          <w:tcPr>
            <w:tcW w:w="5065" w:type="dxa"/>
            <w:noWrap/>
            <w:vAlign w:val="center"/>
          </w:tcPr>
          <w:p>
            <w:pPr>
              <w:adjustRightInd w:val="0"/>
              <w:snapToGrid w:val="0"/>
              <w:spacing w:line="400" w:lineRule="exact"/>
              <w:rPr>
                <w:rFonts w:hint="eastAsia"/>
                <w:sz w:val="24"/>
              </w:rPr>
            </w:pPr>
            <w:r>
              <w:rPr>
                <w:rFonts w:hint="eastAsia"/>
                <w:sz w:val="24"/>
              </w:rPr>
              <w:t>持续加大道路清扫保洁机械化作业力度，提高城市道路保洁质量和效率。到2025年，城市建成区道路机械化清扫率达90%左右，县城达70%左右。</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市城管局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1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44</w:t>
            </w:r>
          </w:p>
        </w:tc>
        <w:tc>
          <w:tcPr>
            <w:tcW w:w="2590" w:type="dxa"/>
            <w:noWrap/>
            <w:vAlign w:val="center"/>
          </w:tcPr>
          <w:p>
            <w:pPr>
              <w:adjustRightInd w:val="0"/>
              <w:snapToGrid w:val="0"/>
              <w:spacing w:line="400" w:lineRule="exact"/>
              <w:rPr>
                <w:rFonts w:hint="eastAsia"/>
                <w:sz w:val="24"/>
              </w:rPr>
            </w:pPr>
            <w:r>
              <w:rPr>
                <w:rFonts w:hint="eastAsia"/>
                <w:sz w:val="24"/>
              </w:rPr>
              <w:t>加强城市公共裸地扬尘管控。</w:t>
            </w:r>
          </w:p>
        </w:tc>
        <w:tc>
          <w:tcPr>
            <w:tcW w:w="5065" w:type="dxa"/>
            <w:noWrap/>
            <w:vAlign w:val="center"/>
          </w:tcPr>
          <w:p>
            <w:pPr>
              <w:adjustRightInd w:val="0"/>
              <w:snapToGrid w:val="0"/>
              <w:spacing w:line="400" w:lineRule="exact"/>
              <w:rPr>
                <w:rFonts w:hint="eastAsia"/>
                <w:sz w:val="24"/>
              </w:rPr>
            </w:pPr>
            <w:r>
              <w:rPr>
                <w:rFonts w:hint="eastAsia"/>
                <w:sz w:val="24"/>
              </w:rPr>
              <w:t>对在建工地、闲置地块等裸露土地开展排查建档，因地制宜落实裸土复绿、防尘网覆盖、场地硬化等抑尘措施。</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70" w:type="dxa"/>
            <w:gridSpan w:val="2"/>
            <w:noWrap/>
            <w:vAlign w:val="center"/>
          </w:tcPr>
          <w:p>
            <w:pPr>
              <w:adjustRightInd w:val="0"/>
              <w:snapToGrid w:val="0"/>
              <w:spacing w:line="400" w:lineRule="exact"/>
              <w:rPr>
                <w:rFonts w:hint="eastAsia"/>
                <w:sz w:val="24"/>
              </w:rPr>
            </w:pPr>
            <w:r>
              <w:rPr>
                <w:rFonts w:hint="eastAsia"/>
                <w:sz w:val="24"/>
                <w:lang w:eastAsia="zh-CN"/>
              </w:rPr>
              <w:t>市住房城乡建设局</w:t>
            </w:r>
            <w:r>
              <w:rPr>
                <w:rFonts w:hint="eastAsia"/>
                <w:sz w:val="24"/>
              </w:rPr>
              <w:t>、</w:t>
            </w:r>
            <w:r>
              <w:rPr>
                <w:rFonts w:hint="eastAsia"/>
                <w:sz w:val="24"/>
                <w:lang w:eastAsia="zh-CN"/>
              </w:rPr>
              <w:t>市自然资源和规划局</w:t>
            </w:r>
            <w:r>
              <w:rPr>
                <w:rFonts w:hint="eastAsia"/>
                <w:sz w:val="24"/>
              </w:rPr>
              <w:t>、</w:t>
            </w:r>
            <w:r>
              <w:rPr>
                <w:rFonts w:hint="eastAsia"/>
                <w:sz w:val="24"/>
                <w:lang w:eastAsia="zh-CN"/>
              </w:rPr>
              <w:t>市交通运输局</w:t>
            </w:r>
            <w:r>
              <w:rPr>
                <w:rFonts w:hint="eastAsia"/>
                <w:sz w:val="24"/>
              </w:rPr>
              <w:t>、</w:t>
            </w:r>
            <w:r>
              <w:rPr>
                <w:rFonts w:hint="eastAsia"/>
                <w:sz w:val="24"/>
                <w:lang w:eastAsia="zh-CN"/>
              </w:rPr>
              <w:t>市水务局</w:t>
            </w:r>
            <w:r>
              <w:rPr>
                <w:rFonts w:hint="eastAsia"/>
                <w:sz w:val="24"/>
              </w:rPr>
              <w:t>、</w:t>
            </w:r>
            <w:r>
              <w:rPr>
                <w:rFonts w:hint="eastAsia"/>
                <w:sz w:val="24"/>
                <w:lang w:eastAsia="zh-CN"/>
              </w:rPr>
              <w:t>市林业局</w:t>
            </w:r>
            <w:r>
              <w:rPr>
                <w:rFonts w:hint="eastAsia"/>
                <w:sz w:val="24"/>
              </w:rPr>
              <w:t>按职责分工负责</w:t>
            </w:r>
          </w:p>
        </w:tc>
        <w:tc>
          <w:tcPr>
            <w:tcW w:w="2270" w:type="dxa"/>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8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45</w:t>
            </w:r>
          </w:p>
        </w:tc>
        <w:tc>
          <w:tcPr>
            <w:tcW w:w="2590" w:type="dxa"/>
            <w:noWrap/>
            <w:vAlign w:val="center"/>
          </w:tcPr>
          <w:p>
            <w:pPr>
              <w:adjustRightInd w:val="0"/>
              <w:snapToGrid w:val="0"/>
              <w:spacing w:line="400" w:lineRule="exact"/>
              <w:rPr>
                <w:rFonts w:hint="eastAsia"/>
                <w:sz w:val="24"/>
              </w:rPr>
            </w:pPr>
            <w:r>
              <w:rPr>
                <w:rFonts w:hint="eastAsia"/>
                <w:sz w:val="24"/>
              </w:rPr>
              <w:t>推动干散货码头扬尘监管。</w:t>
            </w:r>
          </w:p>
        </w:tc>
        <w:tc>
          <w:tcPr>
            <w:tcW w:w="5065" w:type="dxa"/>
            <w:noWrap/>
            <w:vAlign w:val="center"/>
          </w:tcPr>
          <w:p>
            <w:pPr>
              <w:adjustRightInd w:val="0"/>
              <w:snapToGrid w:val="0"/>
              <w:spacing w:line="400" w:lineRule="exact"/>
              <w:rPr>
                <w:rFonts w:hint="eastAsia"/>
                <w:sz w:val="24"/>
              </w:rPr>
            </w:pPr>
            <w:r>
              <w:rPr>
                <w:rFonts w:hint="eastAsia"/>
                <w:sz w:val="24"/>
              </w:rPr>
              <w:t>严格落实城市大型煤炭、矿石等干散货码头物料堆放场所主体责任，完善露天堆场防风网、喷淋装置、防尘屏障等抑尘设施建设，到2025年，城市大型煤炭、矿石等干散货码头物料堆场基本完成物料输送系统封闭改造。</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60"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46</w:t>
            </w:r>
          </w:p>
        </w:tc>
        <w:tc>
          <w:tcPr>
            <w:tcW w:w="2590" w:type="dxa"/>
            <w:noWrap/>
            <w:vAlign w:val="center"/>
          </w:tcPr>
          <w:p>
            <w:pPr>
              <w:adjustRightInd w:val="0"/>
              <w:snapToGrid w:val="0"/>
              <w:spacing w:line="400" w:lineRule="exact"/>
              <w:rPr>
                <w:rFonts w:hint="eastAsia"/>
                <w:sz w:val="24"/>
              </w:rPr>
            </w:pPr>
            <w:r>
              <w:rPr>
                <w:rFonts w:hint="eastAsia"/>
                <w:sz w:val="24"/>
              </w:rPr>
              <w:t>依法关停不达标矿山。</w:t>
            </w:r>
          </w:p>
        </w:tc>
        <w:tc>
          <w:tcPr>
            <w:tcW w:w="5065" w:type="dxa"/>
            <w:noWrap/>
            <w:vAlign w:val="center"/>
          </w:tcPr>
          <w:p>
            <w:pPr>
              <w:adjustRightInd w:val="0"/>
              <w:snapToGrid w:val="0"/>
              <w:spacing w:line="400" w:lineRule="exact"/>
              <w:rPr>
                <w:rFonts w:hint="eastAsia"/>
                <w:sz w:val="24"/>
              </w:rPr>
            </w:pPr>
            <w:r>
              <w:rPr>
                <w:rFonts w:hint="eastAsia"/>
                <w:sz w:val="24"/>
              </w:rPr>
              <w:t>推动矿山综合治理，限期整改仍不达标的矿山，由矿山所在地人民政府根据安全生产、水土保持、生态环境等要求依法关闭。</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市自然资源和规划局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市生态环境局</w:t>
            </w:r>
            <w:r>
              <w:rPr>
                <w:rFonts w:hint="eastAsia"/>
                <w:sz w:val="24"/>
              </w:rPr>
              <w:t>、</w:t>
            </w:r>
            <w:r>
              <w:rPr>
                <w:rFonts w:hint="eastAsia"/>
                <w:sz w:val="24"/>
                <w:lang w:eastAsia="zh-CN"/>
              </w:rPr>
              <w:t>市应急管理局</w:t>
            </w:r>
            <w:r>
              <w:rPr>
                <w:rFonts w:hint="eastAsia"/>
                <w:sz w:val="24"/>
              </w:rPr>
              <w:t>、</w:t>
            </w:r>
            <w:r>
              <w:rPr>
                <w:rFonts w:hint="eastAsia"/>
                <w:sz w:val="24"/>
                <w:lang w:eastAsia="zh-CN"/>
              </w:rPr>
              <w:t>市水务局</w:t>
            </w:r>
            <w:r>
              <w:rPr>
                <w:rFonts w:hint="eastAsia"/>
                <w:sz w:val="24"/>
              </w:rPr>
              <w:t>、</w:t>
            </w:r>
            <w:r>
              <w:rPr>
                <w:rFonts w:hint="eastAsia"/>
                <w:sz w:val="24"/>
                <w:lang w:eastAsia="zh-CN"/>
              </w:rPr>
              <w:t>市林业局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（十四）深化群众“家门口”生态环境问题整治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29"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47</w:t>
            </w:r>
          </w:p>
        </w:tc>
        <w:tc>
          <w:tcPr>
            <w:tcW w:w="2590" w:type="dxa"/>
            <w:noWrap/>
            <w:vAlign w:val="center"/>
          </w:tcPr>
          <w:p>
            <w:pPr>
              <w:adjustRightInd w:val="0"/>
              <w:snapToGrid w:val="0"/>
              <w:spacing w:line="400" w:lineRule="exact"/>
              <w:rPr>
                <w:rFonts w:hint="eastAsia"/>
                <w:sz w:val="24"/>
              </w:rPr>
            </w:pPr>
            <w:r>
              <w:rPr>
                <w:rFonts w:hint="eastAsia"/>
                <w:sz w:val="24"/>
              </w:rPr>
              <w:t>巩固提升餐饮油烟扰民问题整治成果。</w:t>
            </w:r>
          </w:p>
        </w:tc>
        <w:tc>
          <w:tcPr>
            <w:tcW w:w="5065" w:type="dxa"/>
            <w:noWrap/>
            <w:vAlign w:val="center"/>
          </w:tcPr>
          <w:p>
            <w:pPr>
              <w:adjustRightInd w:val="0"/>
              <w:snapToGrid w:val="0"/>
              <w:spacing w:line="400" w:lineRule="exact"/>
              <w:rPr>
                <w:rFonts w:hint="eastAsia"/>
                <w:sz w:val="24"/>
              </w:rPr>
            </w:pPr>
            <w:r>
              <w:rPr>
                <w:rFonts w:hint="eastAsia"/>
                <w:sz w:val="24"/>
              </w:rPr>
              <w:t>开展餐饮油烟和噪声扰民巩固提升行动。严格居民楼附近餐饮服务单位布局管理，拟开设餐饮服务单位的建筑应设计建设专用烟道。对油烟净化处理设施不正常运行的，督促及时整改、定期清洗维护、建立完善台账，确保油烟净化去除效率达标。推动实施治理设施第三方运维。</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市住房城乡建设局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65"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48</w:t>
            </w:r>
          </w:p>
        </w:tc>
        <w:tc>
          <w:tcPr>
            <w:tcW w:w="2590" w:type="dxa"/>
            <w:noWrap/>
            <w:vAlign w:val="center"/>
          </w:tcPr>
          <w:p>
            <w:pPr>
              <w:adjustRightInd w:val="0"/>
              <w:snapToGrid w:val="0"/>
              <w:spacing w:line="400" w:lineRule="exact"/>
              <w:rPr>
                <w:rFonts w:hint="eastAsia"/>
                <w:sz w:val="24"/>
              </w:rPr>
            </w:pPr>
            <w:r>
              <w:rPr>
                <w:rFonts w:hint="eastAsia"/>
                <w:sz w:val="24"/>
              </w:rPr>
              <w:t>加强恶臭异味扰民问题排查整治。</w:t>
            </w:r>
          </w:p>
        </w:tc>
        <w:tc>
          <w:tcPr>
            <w:tcW w:w="5065" w:type="dxa"/>
            <w:noWrap/>
            <w:vAlign w:val="center"/>
          </w:tcPr>
          <w:p>
            <w:pPr>
              <w:adjustRightInd w:val="0"/>
              <w:snapToGrid w:val="0"/>
              <w:spacing w:line="400" w:lineRule="exact"/>
              <w:rPr>
                <w:rFonts w:hint="eastAsia"/>
                <w:sz w:val="24"/>
              </w:rPr>
            </w:pPr>
            <w:r>
              <w:rPr>
                <w:rFonts w:hint="eastAsia"/>
                <w:sz w:val="24"/>
              </w:rPr>
              <w:t>对群众反映强烈的恶臭异味扰民问题加强排查整治，投诉集中的工业园区、重点企业要安装运行在线监测系统。鼓励开展恶臭异味专项监测。开展化工园区绿色提升行动，加强部门联动，逐一摸排问题，因地制宜推动解决恶臭异味扰民问题。</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rPr>
                <w:rFonts w:hint="eastAsia"/>
                <w:sz w:val="24"/>
              </w:rPr>
            </w:pPr>
            <w:r>
              <w:rPr>
                <w:rFonts w:hint="eastAsia"/>
                <w:sz w:val="24"/>
                <w:lang w:eastAsia="zh-CN"/>
              </w:rPr>
              <w:t>市住房城乡建设局</w:t>
            </w:r>
            <w:r>
              <w:rPr>
                <w:rFonts w:hint="eastAsia"/>
                <w:sz w:val="24"/>
              </w:rPr>
              <w:t>、</w:t>
            </w:r>
            <w:r>
              <w:rPr>
                <w:rFonts w:hint="eastAsia"/>
                <w:sz w:val="24"/>
                <w:lang w:eastAsia="zh-CN"/>
              </w:rPr>
              <w:t>市发展改革委</w:t>
            </w:r>
            <w:r>
              <w:rPr>
                <w:rFonts w:hint="eastAsia"/>
                <w:sz w:val="24"/>
              </w:rPr>
              <w:t>、</w:t>
            </w:r>
            <w:r>
              <w:rPr>
                <w:rFonts w:hint="eastAsia"/>
                <w:sz w:val="24"/>
                <w:lang w:eastAsia="zh-CN"/>
              </w:rPr>
              <w:t>市农业农村局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（十五）完善秸秆综合利用方式和禁烧机制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5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49</w:t>
            </w:r>
          </w:p>
        </w:tc>
        <w:tc>
          <w:tcPr>
            <w:tcW w:w="2590" w:type="dxa"/>
            <w:noWrap/>
            <w:vAlign w:val="center"/>
          </w:tcPr>
          <w:p>
            <w:pPr>
              <w:adjustRightInd w:val="0"/>
              <w:snapToGrid w:val="0"/>
              <w:spacing w:line="400" w:lineRule="exact"/>
              <w:rPr>
                <w:rFonts w:hint="eastAsia"/>
                <w:sz w:val="24"/>
              </w:rPr>
            </w:pPr>
            <w:r>
              <w:rPr>
                <w:rFonts w:hint="eastAsia"/>
                <w:sz w:val="24"/>
              </w:rPr>
              <w:t>推动秸秆综合利用。</w:t>
            </w:r>
          </w:p>
        </w:tc>
        <w:tc>
          <w:tcPr>
            <w:tcW w:w="5065" w:type="dxa"/>
            <w:noWrap/>
            <w:vAlign w:val="center"/>
          </w:tcPr>
          <w:p>
            <w:pPr>
              <w:adjustRightInd w:val="0"/>
              <w:snapToGrid w:val="0"/>
              <w:spacing w:line="400" w:lineRule="exact"/>
              <w:rPr>
                <w:rFonts w:hint="eastAsia"/>
                <w:sz w:val="24"/>
              </w:rPr>
            </w:pPr>
            <w:r>
              <w:rPr>
                <w:rFonts w:hint="eastAsia"/>
                <w:sz w:val="24"/>
              </w:rPr>
              <w:t>坚持产业导向、多措并举，完善秸秆综合利用方式，规范化、标准化推进秸秆科学还田。坚持将秸秆产业化利用作为主导方向，健全收储运服务体系，着重强化秸秆产业化利用主体引进培育和技术推广应用，不断提高产业化利用水平和效益，促进秸秆综合利用提质增效。到2025年，全</w:t>
            </w:r>
            <w:r>
              <w:rPr>
                <w:rFonts w:hint="eastAsia"/>
                <w:sz w:val="24"/>
                <w:lang w:eastAsia="zh-CN"/>
              </w:rPr>
              <w:t>市</w:t>
            </w:r>
            <w:r>
              <w:rPr>
                <w:rFonts w:hint="eastAsia"/>
                <w:sz w:val="24"/>
              </w:rPr>
              <w:t>秸秆综合利用率稳定在95%以上。</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市农业农村局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9"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50</w:t>
            </w:r>
          </w:p>
        </w:tc>
        <w:tc>
          <w:tcPr>
            <w:tcW w:w="2590" w:type="dxa"/>
            <w:vMerge w:val="restart"/>
            <w:noWrap/>
            <w:vAlign w:val="center"/>
          </w:tcPr>
          <w:p>
            <w:pPr>
              <w:adjustRightInd w:val="0"/>
              <w:snapToGrid w:val="0"/>
              <w:spacing w:line="400" w:lineRule="exact"/>
              <w:rPr>
                <w:rFonts w:hint="eastAsia"/>
                <w:sz w:val="24"/>
              </w:rPr>
            </w:pPr>
            <w:r>
              <w:rPr>
                <w:rFonts w:hint="eastAsia"/>
                <w:sz w:val="24"/>
              </w:rPr>
              <w:t>禁止露天焚烧秸秆。</w:t>
            </w:r>
          </w:p>
        </w:tc>
        <w:tc>
          <w:tcPr>
            <w:tcW w:w="5065" w:type="dxa"/>
            <w:noWrap/>
            <w:vAlign w:val="center"/>
          </w:tcPr>
          <w:p>
            <w:pPr>
              <w:adjustRightInd w:val="0"/>
              <w:snapToGrid w:val="0"/>
              <w:spacing w:line="400" w:lineRule="exact"/>
              <w:rPr>
                <w:rFonts w:hint="eastAsia"/>
                <w:sz w:val="24"/>
              </w:rPr>
            </w:pPr>
            <w:r>
              <w:rPr>
                <w:rFonts w:hint="eastAsia"/>
                <w:sz w:val="24"/>
              </w:rPr>
              <w:t>充分利用卫星遥感、高清视频监控、无人机等科技手段，加强秸秆焚烧监控等视频资源共享，提高秸秆焚烧火点监测精准度。</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40"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发挥网格化监管体系作用，强化秸秆禁烧管控措施，坚持点位布控、分片包干，依托基层组织，加强日常和重点时段巡查检查，及时发现和制止露天焚烧秸秆行为。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（十六）加强VOCs综合治理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51</w:t>
            </w:r>
          </w:p>
        </w:tc>
        <w:tc>
          <w:tcPr>
            <w:tcW w:w="2590" w:type="dxa"/>
            <w:vMerge w:val="restart"/>
            <w:noWrap/>
            <w:vAlign w:val="center"/>
          </w:tcPr>
          <w:p>
            <w:pPr>
              <w:adjustRightInd w:val="0"/>
              <w:snapToGrid w:val="0"/>
              <w:spacing w:line="380" w:lineRule="exact"/>
              <w:rPr>
                <w:rFonts w:hint="eastAsia"/>
                <w:sz w:val="24"/>
              </w:rPr>
            </w:pPr>
            <w:r>
              <w:rPr>
                <w:rFonts w:hint="eastAsia"/>
                <w:sz w:val="24"/>
              </w:rPr>
              <w:t>推动重点流程和环节VOCs治理。</w:t>
            </w:r>
          </w:p>
        </w:tc>
        <w:tc>
          <w:tcPr>
            <w:tcW w:w="5065" w:type="dxa"/>
            <w:noWrap/>
            <w:vAlign w:val="center"/>
          </w:tcPr>
          <w:p>
            <w:pPr>
              <w:adjustRightInd w:val="0"/>
              <w:snapToGrid w:val="0"/>
              <w:spacing w:line="380" w:lineRule="exact"/>
              <w:rPr>
                <w:rFonts w:hint="eastAsia"/>
                <w:sz w:val="24"/>
              </w:rPr>
            </w:pPr>
            <w:r>
              <w:rPr>
                <w:rFonts w:hint="eastAsia"/>
                <w:sz w:val="24"/>
              </w:rPr>
              <w:t>鼓励储罐使用低泄漏的呼吸阀、紧急泄压阀，定期开展密封性检测。汽车罐车推广使用密封式快速接头。污水处理场所高浓度有机废气要单独收集处理；含VOCs有机废水储罐、装置区集水井（池）有机废气要密闭收集处理。</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石化、化工行业集中的城市和重点工业园区，2024年底前建立统一的泄漏检测与修复信息管理平台。</w:t>
            </w:r>
          </w:p>
        </w:tc>
        <w:tc>
          <w:tcPr>
            <w:tcW w:w="1169" w:type="dxa"/>
            <w:noWrap/>
            <w:vAlign w:val="center"/>
          </w:tcPr>
          <w:p>
            <w:pPr>
              <w:adjustRightInd w:val="0"/>
              <w:snapToGrid w:val="0"/>
              <w:spacing w:line="380" w:lineRule="exact"/>
              <w:jc w:val="center"/>
              <w:rPr>
                <w:rFonts w:hint="eastAsia"/>
                <w:sz w:val="24"/>
              </w:rPr>
            </w:pPr>
            <w:r>
              <w:rPr>
                <w:rFonts w:hint="eastAsia"/>
                <w:sz w:val="24"/>
              </w:rPr>
              <w:t>2024年</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石化、化工企业应当提前制订开停工、检维修计划，向属地生态环境部门报告。企业开停工、检维修期间，及时收集处理退料、清洗、吹扫等作业产生的VOCs废气；不得将火炬燃烧装置作为日常大气污染处理设施。</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380" w:lineRule="exact"/>
              <w:rPr>
                <w:rFonts w:hint="eastAsia" w:eastAsia="方正楷体_GBK"/>
                <w:sz w:val="24"/>
              </w:rPr>
            </w:pPr>
            <w:r>
              <w:rPr>
                <w:rFonts w:hint="eastAsia" w:eastAsia="方正楷体_GBK"/>
                <w:sz w:val="24"/>
              </w:rPr>
              <w:t>（十七）加快低（无）VOCs原辅材料替代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12" w:hRule="atLeast"/>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52</w:t>
            </w:r>
          </w:p>
        </w:tc>
        <w:tc>
          <w:tcPr>
            <w:tcW w:w="2590" w:type="dxa"/>
            <w:vMerge w:val="restart"/>
            <w:noWrap/>
            <w:vAlign w:val="center"/>
          </w:tcPr>
          <w:p>
            <w:pPr>
              <w:adjustRightInd w:val="0"/>
              <w:snapToGrid w:val="0"/>
              <w:spacing w:line="380" w:lineRule="exact"/>
              <w:rPr>
                <w:rFonts w:hint="eastAsia"/>
                <w:sz w:val="24"/>
              </w:rPr>
            </w:pPr>
            <w:r>
              <w:rPr>
                <w:rFonts w:hint="eastAsia"/>
                <w:sz w:val="24"/>
              </w:rPr>
              <w:t>严格控制生产和使用高VOCs含量建设项目。</w:t>
            </w:r>
          </w:p>
        </w:tc>
        <w:tc>
          <w:tcPr>
            <w:tcW w:w="5065" w:type="dxa"/>
            <w:noWrap/>
            <w:vAlign w:val="center"/>
          </w:tcPr>
          <w:p>
            <w:pPr>
              <w:adjustRightInd w:val="0"/>
              <w:snapToGrid w:val="0"/>
              <w:spacing w:line="380" w:lineRule="exact"/>
              <w:rPr>
                <w:rFonts w:hint="eastAsia"/>
                <w:sz w:val="24"/>
              </w:rPr>
            </w:pPr>
            <w:r>
              <w:rPr>
                <w:rFonts w:hint="eastAsia"/>
                <w:sz w:val="24"/>
              </w:rPr>
              <w:t>推动现有高VOCs含量产品生产企业加快产品升级转型，提高水性、高固体分、无溶剂、粉末、辐射固化等（无）低VOCs含量产品的比重。</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12"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实施安徽省低挥发性有机物原辅材料源头替代工作方案，严格控制生产和使用高VOCs含量涂料、油墨、胶粘剂、清洗剂等建设项目。</w:t>
            </w:r>
          </w:p>
        </w:tc>
        <w:tc>
          <w:tcPr>
            <w:tcW w:w="1169" w:type="dxa"/>
            <w:noWrap/>
            <w:vAlign w:val="center"/>
          </w:tcPr>
          <w:p>
            <w:pPr>
              <w:adjustRightInd w:val="0"/>
              <w:snapToGrid w:val="0"/>
              <w:spacing w:line="380" w:lineRule="exact"/>
              <w:jc w:val="center"/>
              <w:rPr>
                <w:rFonts w:hint="eastAsia"/>
                <w:sz w:val="24"/>
              </w:rPr>
            </w:pPr>
            <w:r>
              <w:rPr>
                <w:rFonts w:hint="eastAsia"/>
                <w:sz w:val="24"/>
              </w:rPr>
              <w:t>2024年</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市工业和信息化局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66"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53</w:t>
            </w:r>
          </w:p>
        </w:tc>
        <w:tc>
          <w:tcPr>
            <w:tcW w:w="2590" w:type="dxa"/>
            <w:vMerge w:val="restart"/>
            <w:noWrap/>
            <w:vAlign w:val="center"/>
          </w:tcPr>
          <w:p>
            <w:pPr>
              <w:adjustRightInd w:val="0"/>
              <w:snapToGrid w:val="0"/>
              <w:spacing w:line="400" w:lineRule="exact"/>
              <w:rPr>
                <w:rFonts w:hint="eastAsia"/>
                <w:sz w:val="24"/>
              </w:rPr>
            </w:pPr>
            <w:r>
              <w:rPr>
                <w:rFonts w:hint="eastAsia"/>
                <w:sz w:val="24"/>
              </w:rPr>
              <w:t>推动低（无）VOCs原辅材料源头替代。</w:t>
            </w:r>
          </w:p>
        </w:tc>
        <w:tc>
          <w:tcPr>
            <w:tcW w:w="5065" w:type="dxa"/>
            <w:noWrap/>
            <w:vAlign w:val="center"/>
          </w:tcPr>
          <w:p>
            <w:pPr>
              <w:adjustRightInd w:val="0"/>
              <w:snapToGrid w:val="0"/>
              <w:spacing w:line="400" w:lineRule="exact"/>
              <w:rPr>
                <w:rFonts w:hint="eastAsia"/>
                <w:sz w:val="24"/>
              </w:rPr>
            </w:pPr>
            <w:r>
              <w:rPr>
                <w:rFonts w:hint="eastAsia"/>
                <w:sz w:val="24"/>
              </w:rPr>
              <w:t>加大汽车修理、木质家具制造、汽车零部件、工程机械、钢结构、船舶制造等工业涂装行业、包装印刷行业及电子行业低（无）VOCs含量原辅材料的替代力度。</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市工业和信息化局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73"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室外构筑物防护和城市道路交通标志推广使用低（无）VOCs含量涂料。</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市住房城乡建设局</w:t>
            </w:r>
            <w:r>
              <w:rPr>
                <w:rFonts w:hint="eastAsia"/>
                <w:sz w:val="24"/>
              </w:rPr>
              <w:t>、</w:t>
            </w:r>
            <w:r>
              <w:rPr>
                <w:rFonts w:hint="eastAsia"/>
                <w:sz w:val="24"/>
                <w:lang w:eastAsia="zh-CN"/>
              </w:rPr>
              <w:t>市公安局</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23"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54</w:t>
            </w:r>
          </w:p>
        </w:tc>
        <w:tc>
          <w:tcPr>
            <w:tcW w:w="2590" w:type="dxa"/>
            <w:vMerge w:val="restart"/>
            <w:noWrap/>
            <w:vAlign w:val="center"/>
          </w:tcPr>
          <w:p>
            <w:pPr>
              <w:adjustRightInd w:val="0"/>
              <w:snapToGrid w:val="0"/>
              <w:spacing w:line="400" w:lineRule="exact"/>
              <w:rPr>
                <w:rFonts w:hint="eastAsia"/>
                <w:sz w:val="24"/>
              </w:rPr>
            </w:pPr>
            <w:r>
              <w:rPr>
                <w:rFonts w:hint="eastAsia"/>
                <w:sz w:val="24"/>
              </w:rPr>
              <w:t>严格执行涂料、油墨、胶粘剂、清洗剂VOCs含量限值标准。</w:t>
            </w:r>
          </w:p>
        </w:tc>
        <w:tc>
          <w:tcPr>
            <w:tcW w:w="5065" w:type="dxa"/>
            <w:noWrap/>
            <w:vAlign w:val="center"/>
          </w:tcPr>
          <w:p>
            <w:pPr>
              <w:adjustRightInd w:val="0"/>
              <w:snapToGrid w:val="0"/>
              <w:spacing w:line="400" w:lineRule="exact"/>
              <w:rPr>
                <w:rFonts w:hint="eastAsia"/>
                <w:sz w:val="24"/>
              </w:rPr>
            </w:pPr>
            <w:r>
              <w:rPr>
                <w:rFonts w:hint="eastAsia"/>
                <w:sz w:val="24"/>
              </w:rPr>
              <w:t>严格按照国家强制性技术规范要求，对VOCs含量超过国家限值的，依法实施退运、销毁等处置措施。</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淮北</w:t>
            </w:r>
            <w:r>
              <w:rPr>
                <w:rFonts w:hint="eastAsia"/>
                <w:sz w:val="24"/>
              </w:rPr>
              <w:t>海关</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80"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开展含VOCs原辅材料达标情况联合检查，严格执行涂料、油墨、胶粘剂、清洗剂VOCs含量限值标准，确保生产、销售、进口、使用符合标准的产品。</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市市场监管局</w:t>
            </w:r>
            <w:r>
              <w:rPr>
                <w:rFonts w:hint="eastAsia"/>
                <w:sz w:val="24"/>
              </w:rPr>
              <w:t>、</w:t>
            </w:r>
            <w:r>
              <w:rPr>
                <w:rFonts w:hint="eastAsia"/>
                <w:sz w:val="24"/>
                <w:lang w:eastAsia="zh-CN"/>
              </w:rPr>
              <w:t>市生态环境局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市住房城乡建设局</w:t>
            </w:r>
            <w:r>
              <w:rPr>
                <w:rFonts w:hint="eastAsia"/>
                <w:sz w:val="24"/>
              </w:rPr>
              <w:t>、</w:t>
            </w:r>
            <w:r>
              <w:rPr>
                <w:rFonts w:hint="eastAsia"/>
                <w:sz w:val="24"/>
                <w:lang w:eastAsia="zh-CN"/>
              </w:rPr>
              <w:t>淮北</w:t>
            </w:r>
            <w:r>
              <w:rPr>
                <w:rFonts w:hint="eastAsia"/>
                <w:sz w:val="24"/>
              </w:rPr>
              <w:t>海关按职责分工负责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（十八）加快涉气重点行业深度治理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54"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55</w:t>
            </w:r>
          </w:p>
        </w:tc>
        <w:tc>
          <w:tcPr>
            <w:tcW w:w="2590" w:type="dxa"/>
            <w:vMerge w:val="restart"/>
            <w:noWrap/>
            <w:vAlign w:val="center"/>
          </w:tcPr>
          <w:p>
            <w:pPr>
              <w:adjustRightInd w:val="0"/>
              <w:snapToGrid w:val="0"/>
              <w:spacing w:line="400" w:lineRule="exact"/>
              <w:rPr>
                <w:rFonts w:hint="eastAsia"/>
                <w:sz w:val="24"/>
              </w:rPr>
            </w:pPr>
            <w:r>
              <w:rPr>
                <w:rFonts w:hint="eastAsia"/>
                <w:sz w:val="24"/>
              </w:rPr>
              <w:t>加快重点行业超低排放改造。</w:t>
            </w:r>
          </w:p>
        </w:tc>
        <w:tc>
          <w:tcPr>
            <w:tcW w:w="5065" w:type="dxa"/>
            <w:noWrap/>
            <w:vAlign w:val="center"/>
          </w:tcPr>
          <w:p>
            <w:pPr>
              <w:adjustRightInd w:val="0"/>
              <w:snapToGrid w:val="0"/>
              <w:spacing w:line="400" w:lineRule="exact"/>
              <w:rPr>
                <w:rFonts w:hint="eastAsia"/>
                <w:sz w:val="24"/>
              </w:rPr>
            </w:pPr>
            <w:r>
              <w:rPr>
                <w:rFonts w:hint="eastAsia"/>
                <w:sz w:val="24"/>
              </w:rPr>
              <w:t>高质量推进水泥、焦化等重点行业及燃煤锅炉超低排放改造。到2025年，全</w:t>
            </w:r>
            <w:r>
              <w:rPr>
                <w:rFonts w:hint="eastAsia"/>
                <w:sz w:val="24"/>
                <w:lang w:eastAsia="zh-CN"/>
              </w:rPr>
              <w:t>市</w:t>
            </w:r>
            <w:r>
              <w:rPr>
                <w:rFonts w:hint="eastAsia"/>
                <w:sz w:val="24"/>
              </w:rPr>
              <w:t>燃煤锅炉全面完成超低排放改造，独立烧结、球团、热轧企业参照钢铁超低排放标准力争完成改造。</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02"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开展水泥、焦化行业超低排放改造和低效失效大气污染治理设施排查整治，鼓励水泥、焦化等行业产能整合。</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56</w:t>
            </w:r>
          </w:p>
        </w:tc>
        <w:tc>
          <w:tcPr>
            <w:tcW w:w="2590" w:type="dxa"/>
            <w:noWrap/>
            <w:vAlign w:val="center"/>
          </w:tcPr>
          <w:p>
            <w:pPr>
              <w:adjustRightInd w:val="0"/>
              <w:snapToGrid w:val="0"/>
              <w:spacing w:line="400" w:lineRule="exact"/>
              <w:rPr>
                <w:rFonts w:hint="eastAsia"/>
                <w:sz w:val="24"/>
              </w:rPr>
            </w:pPr>
            <w:r>
              <w:rPr>
                <w:rFonts w:hint="eastAsia"/>
                <w:sz w:val="24"/>
              </w:rPr>
              <w:t>推进重点行业深度治理。</w:t>
            </w:r>
          </w:p>
        </w:tc>
        <w:tc>
          <w:tcPr>
            <w:tcW w:w="5065" w:type="dxa"/>
            <w:noWrap/>
            <w:vAlign w:val="center"/>
          </w:tcPr>
          <w:p>
            <w:pPr>
              <w:adjustRightInd w:val="0"/>
              <w:snapToGrid w:val="0"/>
              <w:spacing w:line="400" w:lineRule="exact"/>
              <w:rPr>
                <w:rFonts w:hint="eastAsia"/>
                <w:sz w:val="24"/>
              </w:rPr>
            </w:pPr>
            <w:r>
              <w:rPr>
                <w:rFonts w:hint="eastAsia"/>
                <w:sz w:val="24"/>
              </w:rPr>
              <w:t>推进玻璃、石灰、矿棉、有色、铸造、化肥、化工、木材加工、制鞋、汽修等行业深度治理。推进燃气锅炉低氮燃烧改造。</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1"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57</w:t>
            </w:r>
          </w:p>
        </w:tc>
        <w:tc>
          <w:tcPr>
            <w:tcW w:w="2590" w:type="dxa"/>
            <w:vMerge w:val="restart"/>
            <w:noWrap/>
            <w:vAlign w:val="center"/>
          </w:tcPr>
          <w:p>
            <w:pPr>
              <w:adjustRightInd w:val="0"/>
              <w:snapToGrid w:val="0"/>
              <w:spacing w:line="400" w:lineRule="exact"/>
              <w:rPr>
                <w:rFonts w:hint="eastAsia"/>
                <w:sz w:val="24"/>
              </w:rPr>
            </w:pPr>
            <w:r>
              <w:rPr>
                <w:rFonts w:hint="eastAsia"/>
                <w:sz w:val="24"/>
              </w:rPr>
              <w:t>推进小型生物质锅炉整合。</w:t>
            </w:r>
          </w:p>
        </w:tc>
        <w:tc>
          <w:tcPr>
            <w:tcW w:w="5065" w:type="dxa"/>
            <w:noWrap/>
            <w:vAlign w:val="center"/>
          </w:tcPr>
          <w:p>
            <w:pPr>
              <w:adjustRightInd w:val="0"/>
              <w:snapToGrid w:val="0"/>
              <w:spacing w:line="400" w:lineRule="exact"/>
              <w:rPr>
                <w:rFonts w:hint="eastAsia"/>
                <w:sz w:val="24"/>
              </w:rPr>
            </w:pPr>
            <w:r>
              <w:rPr>
                <w:rFonts w:hint="eastAsia"/>
                <w:sz w:val="24"/>
              </w:rPr>
              <w:t>生物质锅炉采用专用锅炉，配套布袋等高效除尘设施，禁止掺烧煤炭、生活垃圾等其他物料。</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9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推进整合小型生物质锅炉，积极引导城市建成区内生物质锅炉（含电力）超低排放改造，新改扩建生物质锅炉应按照超低排放标准设计建设并稳定达标排放。</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3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58</w:t>
            </w:r>
          </w:p>
        </w:tc>
        <w:tc>
          <w:tcPr>
            <w:tcW w:w="2590" w:type="dxa"/>
            <w:noWrap/>
            <w:vAlign w:val="center"/>
          </w:tcPr>
          <w:p>
            <w:pPr>
              <w:adjustRightInd w:val="0"/>
              <w:snapToGrid w:val="0"/>
              <w:spacing w:line="400" w:lineRule="exact"/>
              <w:rPr>
                <w:rFonts w:hint="eastAsia"/>
                <w:sz w:val="24"/>
              </w:rPr>
            </w:pPr>
            <w:r>
              <w:rPr>
                <w:rFonts w:hint="eastAsia"/>
                <w:sz w:val="24"/>
              </w:rPr>
              <w:t>减少非正常工况排放。</w:t>
            </w:r>
          </w:p>
        </w:tc>
        <w:tc>
          <w:tcPr>
            <w:tcW w:w="5065" w:type="dxa"/>
            <w:noWrap/>
            <w:vAlign w:val="center"/>
          </w:tcPr>
          <w:p>
            <w:pPr>
              <w:adjustRightInd w:val="0"/>
              <w:snapToGrid w:val="0"/>
              <w:spacing w:line="400" w:lineRule="exact"/>
              <w:rPr>
                <w:rFonts w:hint="eastAsia"/>
                <w:sz w:val="24"/>
              </w:rPr>
            </w:pPr>
            <w:r>
              <w:rPr>
                <w:rFonts w:hint="eastAsia"/>
                <w:sz w:val="24"/>
              </w:rPr>
              <w:t>重点涉气企业逐步取消烟气和含VOCs废气旁路，因安全生产需要无法取消的，应安装在线监控系统及备用处置设施，强化治理设施运行维护，减少非正常工况排放。</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（十九）推动农业和工业领域大气氨污染防控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0"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59</w:t>
            </w:r>
          </w:p>
        </w:tc>
        <w:tc>
          <w:tcPr>
            <w:tcW w:w="2590" w:type="dxa"/>
            <w:noWrap/>
            <w:vAlign w:val="center"/>
          </w:tcPr>
          <w:p>
            <w:pPr>
              <w:adjustRightInd w:val="0"/>
              <w:snapToGrid w:val="0"/>
              <w:spacing w:line="400" w:lineRule="exact"/>
              <w:rPr>
                <w:rFonts w:hint="eastAsia"/>
                <w:sz w:val="24"/>
              </w:rPr>
            </w:pPr>
            <w:r>
              <w:rPr>
                <w:rFonts w:hint="eastAsia"/>
                <w:sz w:val="24"/>
              </w:rPr>
              <w:t>减少农业领域氨气排放。</w:t>
            </w:r>
          </w:p>
        </w:tc>
        <w:tc>
          <w:tcPr>
            <w:tcW w:w="5065" w:type="dxa"/>
            <w:noWrap/>
            <w:vAlign w:val="center"/>
          </w:tcPr>
          <w:p>
            <w:pPr>
              <w:adjustRightInd w:val="0"/>
              <w:snapToGrid w:val="0"/>
              <w:spacing w:line="400" w:lineRule="exact"/>
              <w:rPr>
                <w:rFonts w:hint="eastAsia"/>
                <w:sz w:val="24"/>
              </w:rPr>
            </w:pPr>
            <w:r>
              <w:rPr>
                <w:rFonts w:hint="eastAsia"/>
                <w:sz w:val="24"/>
              </w:rPr>
              <w:t>推广水稻侧深施肥和小麦、玉米种肥同播。推广低蛋白日粮和全混合日粮等精准饲喂技术，提高饲料报酬，减少氨气产生总量。</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市农业农村局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52"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60</w:t>
            </w:r>
          </w:p>
        </w:tc>
        <w:tc>
          <w:tcPr>
            <w:tcW w:w="2590" w:type="dxa"/>
            <w:noWrap/>
            <w:vAlign w:val="center"/>
          </w:tcPr>
          <w:p>
            <w:pPr>
              <w:adjustRightInd w:val="0"/>
              <w:snapToGrid w:val="0"/>
              <w:spacing w:line="380" w:lineRule="exact"/>
              <w:rPr>
                <w:rFonts w:hint="eastAsia"/>
                <w:sz w:val="24"/>
              </w:rPr>
            </w:pPr>
            <w:r>
              <w:rPr>
                <w:rFonts w:hint="eastAsia"/>
                <w:sz w:val="24"/>
              </w:rPr>
              <w:t>推动畜禽养殖场氨气等臭气治理。</w:t>
            </w:r>
          </w:p>
        </w:tc>
        <w:tc>
          <w:tcPr>
            <w:tcW w:w="5065" w:type="dxa"/>
            <w:noWrap/>
            <w:vAlign w:val="center"/>
          </w:tcPr>
          <w:p>
            <w:pPr>
              <w:adjustRightInd w:val="0"/>
              <w:snapToGrid w:val="0"/>
              <w:spacing w:line="380" w:lineRule="exact"/>
              <w:rPr>
                <w:rFonts w:hint="eastAsia"/>
                <w:sz w:val="24"/>
              </w:rPr>
            </w:pPr>
            <w:r>
              <w:rPr>
                <w:rFonts w:hint="eastAsia"/>
                <w:sz w:val="24"/>
              </w:rPr>
              <w:t>研究畜禽养殖场氨气等臭气治理措施，鼓励生猪、鸡等圈舍封闭管理，支持粪污输送、储存及处理设施封闭，加强废气收集和处理。推行覆盖式处理与利用粪污技术，降低养分损失，减少气体排放总量。鼓励应用发酵饲料、酶制剂、酸化剂、微生态制剂、有机微量制剂等产品，引导降低单位畜产品的肠道甲烷排放。</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市农业农村局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50"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61</w:t>
            </w:r>
          </w:p>
        </w:tc>
        <w:tc>
          <w:tcPr>
            <w:tcW w:w="2590" w:type="dxa"/>
            <w:noWrap/>
            <w:vAlign w:val="center"/>
          </w:tcPr>
          <w:p>
            <w:pPr>
              <w:adjustRightInd w:val="0"/>
              <w:snapToGrid w:val="0"/>
              <w:spacing w:line="380" w:lineRule="exact"/>
              <w:rPr>
                <w:rFonts w:hint="eastAsia"/>
                <w:sz w:val="24"/>
              </w:rPr>
            </w:pPr>
            <w:r>
              <w:rPr>
                <w:rFonts w:hint="eastAsia"/>
                <w:sz w:val="24"/>
              </w:rPr>
              <w:t>加大企业氨排放监管力度。</w:t>
            </w:r>
          </w:p>
        </w:tc>
        <w:tc>
          <w:tcPr>
            <w:tcW w:w="5065" w:type="dxa"/>
            <w:noWrap/>
            <w:vAlign w:val="center"/>
          </w:tcPr>
          <w:p>
            <w:pPr>
              <w:adjustRightInd w:val="0"/>
              <w:snapToGrid w:val="0"/>
              <w:spacing w:line="380" w:lineRule="exact"/>
              <w:rPr>
                <w:rFonts w:hint="eastAsia"/>
                <w:sz w:val="24"/>
              </w:rPr>
            </w:pPr>
            <w:r>
              <w:rPr>
                <w:rFonts w:hint="eastAsia"/>
                <w:sz w:val="24"/>
              </w:rPr>
              <w:t>加大对氮肥、纯碱生产企业氨排放监管力度。工业企业严格执行恶臭异味防治要求和烟气脱硫脱硝氨逃逸排放标准。</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380" w:lineRule="exact"/>
              <w:rPr>
                <w:rFonts w:hint="eastAsia" w:eastAsia="方正楷体_GBK"/>
                <w:sz w:val="24"/>
              </w:rPr>
            </w:pPr>
            <w:r>
              <w:rPr>
                <w:rFonts w:hint="eastAsia" w:eastAsia="方正楷体_GBK"/>
                <w:sz w:val="24"/>
              </w:rPr>
              <w:t>（二十）完善空气质量达标管理机制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21"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62</w:t>
            </w:r>
          </w:p>
        </w:tc>
        <w:tc>
          <w:tcPr>
            <w:tcW w:w="2590" w:type="dxa"/>
            <w:noWrap/>
            <w:vAlign w:val="center"/>
          </w:tcPr>
          <w:p>
            <w:pPr>
              <w:adjustRightInd w:val="0"/>
              <w:snapToGrid w:val="0"/>
              <w:spacing w:line="380" w:lineRule="exact"/>
              <w:rPr>
                <w:rFonts w:hint="eastAsia"/>
                <w:sz w:val="24"/>
              </w:rPr>
            </w:pPr>
            <w:r>
              <w:rPr>
                <w:rFonts w:hint="eastAsia"/>
                <w:sz w:val="24"/>
              </w:rPr>
              <w:t>实施大气环境质量限期达标规划。</w:t>
            </w:r>
          </w:p>
        </w:tc>
        <w:tc>
          <w:tcPr>
            <w:tcW w:w="5065" w:type="dxa"/>
            <w:noWrap/>
            <w:vAlign w:val="center"/>
          </w:tcPr>
          <w:p>
            <w:pPr>
              <w:adjustRightInd w:val="0"/>
              <w:snapToGrid w:val="0"/>
              <w:spacing w:line="380" w:lineRule="exact"/>
              <w:rPr>
                <w:rFonts w:hint="eastAsia"/>
                <w:sz w:val="24"/>
              </w:rPr>
            </w:pPr>
            <w:r>
              <w:rPr>
                <w:rFonts w:hint="eastAsia"/>
                <w:sz w:val="24"/>
              </w:rPr>
              <w:t>实施大气环境质量限期达标规划，明确达标路线图和重点任务，并向社会公开。</w:t>
            </w:r>
          </w:p>
        </w:tc>
        <w:tc>
          <w:tcPr>
            <w:tcW w:w="1169" w:type="dxa"/>
            <w:noWrap/>
            <w:vAlign w:val="center"/>
          </w:tcPr>
          <w:p>
            <w:pPr>
              <w:adjustRightInd w:val="0"/>
              <w:snapToGrid w:val="0"/>
              <w:spacing w:line="380" w:lineRule="exact"/>
              <w:jc w:val="center"/>
              <w:rPr>
                <w:rFonts w:hint="eastAsia"/>
                <w:sz w:val="24"/>
              </w:rPr>
            </w:pPr>
            <w:r>
              <w:rPr>
                <w:rFonts w:hint="eastAsia"/>
                <w:sz w:val="24"/>
              </w:rPr>
              <w:t>2024年</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06"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63</w:t>
            </w:r>
          </w:p>
        </w:tc>
        <w:tc>
          <w:tcPr>
            <w:tcW w:w="2590" w:type="dxa"/>
            <w:noWrap/>
            <w:vAlign w:val="center"/>
          </w:tcPr>
          <w:p>
            <w:pPr>
              <w:adjustRightInd w:val="0"/>
              <w:snapToGrid w:val="0"/>
              <w:spacing w:line="380" w:lineRule="exact"/>
              <w:rPr>
                <w:rFonts w:hint="eastAsia"/>
                <w:sz w:val="24"/>
              </w:rPr>
            </w:pPr>
            <w:r>
              <w:rPr>
                <w:rFonts w:hint="eastAsia"/>
                <w:sz w:val="24"/>
              </w:rPr>
              <w:t>推进PM</w:t>
            </w:r>
            <w:r>
              <w:rPr>
                <w:rFonts w:hint="eastAsia"/>
                <w:sz w:val="24"/>
                <w:vertAlign w:val="subscript"/>
              </w:rPr>
              <w:t>2.5</w:t>
            </w:r>
            <w:r>
              <w:rPr>
                <w:rFonts w:hint="eastAsia"/>
                <w:sz w:val="24"/>
              </w:rPr>
              <w:t>和臭氧协同控制，更加注重PM</w:t>
            </w:r>
            <w:r>
              <w:rPr>
                <w:rFonts w:hint="eastAsia"/>
                <w:sz w:val="24"/>
                <w:vertAlign w:val="subscript"/>
              </w:rPr>
              <w:t>2.5</w:t>
            </w:r>
            <w:r>
              <w:rPr>
                <w:rFonts w:hint="eastAsia"/>
                <w:sz w:val="24"/>
              </w:rPr>
              <w:t>治理。</w:t>
            </w:r>
          </w:p>
        </w:tc>
        <w:tc>
          <w:tcPr>
            <w:tcW w:w="5065" w:type="dxa"/>
            <w:noWrap/>
            <w:vAlign w:val="center"/>
          </w:tcPr>
          <w:p>
            <w:pPr>
              <w:adjustRightInd w:val="0"/>
              <w:snapToGrid w:val="0"/>
              <w:spacing w:line="380" w:lineRule="exact"/>
              <w:rPr>
                <w:rFonts w:hint="eastAsia"/>
                <w:sz w:val="24"/>
              </w:rPr>
            </w:pPr>
            <w:r>
              <w:rPr>
                <w:rFonts w:hint="eastAsia"/>
                <w:sz w:val="24"/>
              </w:rPr>
              <w:t>全力推动完成“十四五”空气质量改善阶段目标。</w:t>
            </w:r>
          </w:p>
        </w:tc>
        <w:tc>
          <w:tcPr>
            <w:tcW w:w="1169" w:type="dxa"/>
            <w:noWrap/>
            <w:vAlign w:val="center"/>
          </w:tcPr>
          <w:p>
            <w:pPr>
              <w:adjustRightInd w:val="0"/>
              <w:snapToGrid w:val="0"/>
              <w:spacing w:line="380" w:lineRule="exact"/>
              <w:jc w:val="center"/>
              <w:rPr>
                <w:rFonts w:hint="eastAsia"/>
                <w:sz w:val="24"/>
              </w:rPr>
            </w:pPr>
            <w:r>
              <w:rPr>
                <w:rFonts w:hint="eastAsia"/>
                <w:sz w:val="24"/>
              </w:rPr>
              <w:t>2025年</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（二十一）健全重污染天气应对机制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90"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64</w:t>
            </w:r>
          </w:p>
        </w:tc>
        <w:tc>
          <w:tcPr>
            <w:tcW w:w="2590" w:type="dxa"/>
            <w:vMerge w:val="restart"/>
            <w:noWrap/>
            <w:vAlign w:val="center"/>
          </w:tcPr>
          <w:p>
            <w:pPr>
              <w:adjustRightInd w:val="0"/>
              <w:snapToGrid w:val="0"/>
              <w:spacing w:line="400" w:lineRule="exact"/>
              <w:rPr>
                <w:rFonts w:hint="eastAsia"/>
                <w:sz w:val="24"/>
              </w:rPr>
            </w:pPr>
            <w:r>
              <w:rPr>
                <w:rFonts w:hint="eastAsia"/>
                <w:sz w:val="24"/>
              </w:rPr>
              <w:t>完善重污染天气应对预案体系。</w:t>
            </w:r>
          </w:p>
        </w:tc>
        <w:tc>
          <w:tcPr>
            <w:tcW w:w="5065" w:type="dxa"/>
            <w:noWrap/>
            <w:vAlign w:val="center"/>
          </w:tcPr>
          <w:p>
            <w:pPr>
              <w:adjustRightInd w:val="0"/>
              <w:snapToGrid w:val="0"/>
              <w:spacing w:line="400" w:lineRule="exact"/>
              <w:rPr>
                <w:rFonts w:hint="eastAsia"/>
                <w:sz w:val="24"/>
              </w:rPr>
            </w:pPr>
            <w:r>
              <w:rPr>
                <w:rFonts w:hint="eastAsia"/>
                <w:sz w:val="24"/>
              </w:rPr>
              <w:t>完善重污染天气应对预案体系，明确部门责任分工，统一规范重污染天气预警、启动、响应、解除工作流程。</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市气象局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96"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优化重污染天气预警启动标准，修订重污染天气应急预案。</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24"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65</w:t>
            </w:r>
          </w:p>
        </w:tc>
        <w:tc>
          <w:tcPr>
            <w:tcW w:w="2590" w:type="dxa"/>
            <w:noWrap/>
            <w:vAlign w:val="center"/>
          </w:tcPr>
          <w:p>
            <w:pPr>
              <w:adjustRightInd w:val="0"/>
              <w:snapToGrid w:val="0"/>
              <w:spacing w:line="400" w:lineRule="exact"/>
              <w:rPr>
                <w:rFonts w:hint="eastAsia"/>
                <w:sz w:val="24"/>
              </w:rPr>
            </w:pPr>
            <w:r>
              <w:rPr>
                <w:rFonts w:hint="eastAsia"/>
                <w:sz w:val="24"/>
              </w:rPr>
              <w:t>完善绩效分级差异化监管制度。</w:t>
            </w:r>
          </w:p>
        </w:tc>
        <w:tc>
          <w:tcPr>
            <w:tcW w:w="5065" w:type="dxa"/>
            <w:noWrap/>
            <w:vAlign w:val="center"/>
          </w:tcPr>
          <w:p>
            <w:pPr>
              <w:adjustRightInd w:val="0"/>
              <w:snapToGrid w:val="0"/>
              <w:spacing w:line="400" w:lineRule="exact"/>
              <w:rPr>
                <w:rFonts w:hint="eastAsia"/>
                <w:sz w:val="24"/>
              </w:rPr>
            </w:pPr>
            <w:r>
              <w:rPr>
                <w:rFonts w:hint="eastAsia"/>
                <w:sz w:val="24"/>
                <w:lang w:eastAsia="zh-CN"/>
              </w:rPr>
              <w:t>落实</w:t>
            </w:r>
            <w:r>
              <w:rPr>
                <w:rFonts w:hint="eastAsia"/>
                <w:sz w:val="24"/>
              </w:rPr>
              <w:t>《重污染天气重点行业绩效分级工作指南》，常态化开展重点行业绩效分级工作，原则上所有重点行业企业均纳入绩效分级管理，鼓励参照重点行业绩效分级差异化指标，对规模较大的非重点行业开展绩效评级。发挥标杆企业示范作用，督促低绩效企业开展提标改造，对整改无望企业鼓励其整合、搬迁或有序退出。</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82"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66</w:t>
            </w:r>
          </w:p>
        </w:tc>
        <w:tc>
          <w:tcPr>
            <w:tcW w:w="2590" w:type="dxa"/>
            <w:noWrap/>
            <w:vAlign w:val="center"/>
          </w:tcPr>
          <w:p>
            <w:pPr>
              <w:adjustRightInd w:val="0"/>
              <w:snapToGrid w:val="0"/>
              <w:spacing w:line="400" w:lineRule="exact"/>
              <w:rPr>
                <w:rFonts w:hint="eastAsia"/>
                <w:sz w:val="24"/>
              </w:rPr>
            </w:pPr>
            <w:r>
              <w:rPr>
                <w:rFonts w:hint="eastAsia"/>
                <w:sz w:val="24"/>
              </w:rPr>
              <w:t>完善企业应急减排清单。</w:t>
            </w:r>
          </w:p>
        </w:tc>
        <w:tc>
          <w:tcPr>
            <w:tcW w:w="5065" w:type="dxa"/>
            <w:noWrap/>
            <w:vAlign w:val="center"/>
          </w:tcPr>
          <w:p>
            <w:pPr>
              <w:adjustRightInd w:val="0"/>
              <w:snapToGrid w:val="0"/>
              <w:spacing w:line="400" w:lineRule="exact"/>
              <w:rPr>
                <w:rFonts w:hint="eastAsia"/>
                <w:sz w:val="24"/>
              </w:rPr>
            </w:pPr>
            <w:r>
              <w:rPr>
                <w:rFonts w:hint="eastAsia"/>
                <w:sz w:val="24"/>
              </w:rPr>
              <w:t>强化应急减排措施清单化管理，结合排污许可管理系统，持续开展应急减排清单增补扩充，确保覆盖所有涉气企业。</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69"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67</w:t>
            </w:r>
          </w:p>
        </w:tc>
        <w:tc>
          <w:tcPr>
            <w:tcW w:w="2590" w:type="dxa"/>
            <w:noWrap/>
            <w:vAlign w:val="center"/>
          </w:tcPr>
          <w:p>
            <w:pPr>
              <w:adjustRightInd w:val="0"/>
              <w:snapToGrid w:val="0"/>
              <w:spacing w:line="400" w:lineRule="exact"/>
              <w:rPr>
                <w:rFonts w:hint="eastAsia"/>
                <w:sz w:val="24"/>
              </w:rPr>
            </w:pPr>
            <w:r>
              <w:rPr>
                <w:rFonts w:hint="eastAsia"/>
                <w:sz w:val="24"/>
              </w:rPr>
              <w:t>强化区域应急联动。</w:t>
            </w:r>
          </w:p>
        </w:tc>
        <w:tc>
          <w:tcPr>
            <w:tcW w:w="5065" w:type="dxa"/>
            <w:noWrap/>
            <w:vAlign w:val="center"/>
          </w:tcPr>
          <w:p>
            <w:pPr>
              <w:adjustRightInd w:val="0"/>
              <w:snapToGrid w:val="0"/>
              <w:spacing w:line="400" w:lineRule="exact"/>
              <w:rPr>
                <w:rFonts w:hint="eastAsia"/>
                <w:sz w:val="24"/>
              </w:rPr>
            </w:pPr>
            <w:r>
              <w:rPr>
                <w:rFonts w:hint="eastAsia"/>
                <w:sz w:val="24"/>
              </w:rPr>
              <w:t>深化区域应急联动机制，按照区域预警提示信息，依法依规同步采取应急响应措施。</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（二十二）强化区域联防联控机制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7"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68</w:t>
            </w:r>
          </w:p>
        </w:tc>
        <w:tc>
          <w:tcPr>
            <w:tcW w:w="2590" w:type="dxa"/>
            <w:noWrap/>
            <w:vAlign w:val="center"/>
          </w:tcPr>
          <w:p>
            <w:pPr>
              <w:adjustRightInd w:val="0"/>
              <w:snapToGrid w:val="0"/>
              <w:spacing w:line="400" w:lineRule="exact"/>
              <w:rPr>
                <w:rFonts w:hint="eastAsia"/>
                <w:sz w:val="24"/>
              </w:rPr>
            </w:pPr>
            <w:r>
              <w:rPr>
                <w:rFonts w:hint="eastAsia"/>
                <w:sz w:val="24"/>
              </w:rPr>
              <w:t>推进长三角地区大气污染防治联防联控。</w:t>
            </w:r>
          </w:p>
        </w:tc>
        <w:tc>
          <w:tcPr>
            <w:tcW w:w="5065" w:type="dxa"/>
            <w:noWrap/>
            <w:vAlign w:val="center"/>
          </w:tcPr>
          <w:p>
            <w:pPr>
              <w:adjustRightInd w:val="0"/>
              <w:snapToGrid w:val="0"/>
              <w:spacing w:line="400" w:lineRule="exact"/>
              <w:rPr>
                <w:rFonts w:hint="eastAsia"/>
                <w:sz w:val="24"/>
              </w:rPr>
            </w:pPr>
            <w:r>
              <w:rPr>
                <w:rFonts w:hint="eastAsia"/>
                <w:sz w:val="24"/>
              </w:rPr>
              <w:t>按照统一规划、统一标准、统一监测、统一污染防治措施的要求，做深做实长三角地区大气污染防治联防联控工作。</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8"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69</w:t>
            </w:r>
          </w:p>
        </w:tc>
        <w:tc>
          <w:tcPr>
            <w:tcW w:w="2590" w:type="dxa"/>
            <w:noWrap/>
            <w:vAlign w:val="center"/>
          </w:tcPr>
          <w:p>
            <w:pPr>
              <w:adjustRightInd w:val="0"/>
              <w:snapToGrid w:val="0"/>
              <w:spacing w:line="400" w:lineRule="exact"/>
              <w:rPr>
                <w:rFonts w:hint="eastAsia"/>
                <w:sz w:val="24"/>
              </w:rPr>
            </w:pPr>
            <w:r>
              <w:rPr>
                <w:rFonts w:hint="eastAsia"/>
                <w:sz w:val="24"/>
              </w:rPr>
              <w:t>支持</w:t>
            </w:r>
            <w:r>
              <w:rPr>
                <w:rFonts w:hint="eastAsia"/>
                <w:sz w:val="24"/>
                <w:lang w:eastAsia="zh-CN"/>
              </w:rPr>
              <w:t>区域</w:t>
            </w:r>
            <w:r>
              <w:rPr>
                <w:rFonts w:hint="eastAsia"/>
                <w:sz w:val="24"/>
              </w:rPr>
              <w:t>毗邻市、县开展大气污染联防联控。</w:t>
            </w:r>
          </w:p>
        </w:tc>
        <w:tc>
          <w:tcPr>
            <w:tcW w:w="5065" w:type="dxa"/>
            <w:noWrap/>
            <w:vAlign w:val="center"/>
          </w:tcPr>
          <w:p>
            <w:pPr>
              <w:adjustRightInd w:val="0"/>
              <w:snapToGrid w:val="0"/>
              <w:spacing w:line="400" w:lineRule="exact"/>
              <w:rPr>
                <w:rFonts w:hint="eastAsia"/>
                <w:sz w:val="24"/>
              </w:rPr>
            </w:pPr>
            <w:r>
              <w:rPr>
                <w:rFonts w:hint="eastAsia"/>
                <w:sz w:val="24"/>
              </w:rPr>
              <w:t>推</w:t>
            </w:r>
            <w:r>
              <w:rPr>
                <w:rFonts w:hint="eastAsia"/>
                <w:sz w:val="24"/>
                <w:lang w:eastAsia="zh-CN"/>
              </w:rPr>
              <w:t>进区域</w:t>
            </w:r>
            <w:r>
              <w:rPr>
                <w:rFonts w:hint="eastAsia"/>
                <w:sz w:val="24"/>
              </w:rPr>
              <w:t>毗邻市、县（市、区）开展联防联控</w:t>
            </w:r>
            <w:r>
              <w:rPr>
                <w:rFonts w:hint="eastAsia"/>
                <w:sz w:val="24"/>
                <w:lang w:eastAsia="zh-CN"/>
              </w:rPr>
              <w:t>、共建协作、交叉执法</w:t>
            </w:r>
            <w:r>
              <w:rPr>
                <w:rFonts w:hint="eastAsia"/>
                <w:sz w:val="24"/>
              </w:rPr>
              <w:t>。</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8"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71</w:t>
            </w:r>
          </w:p>
        </w:tc>
        <w:tc>
          <w:tcPr>
            <w:tcW w:w="2590" w:type="dxa"/>
            <w:noWrap/>
            <w:vAlign w:val="center"/>
          </w:tcPr>
          <w:p>
            <w:pPr>
              <w:adjustRightInd w:val="0"/>
              <w:snapToGrid w:val="0"/>
              <w:spacing w:line="400" w:lineRule="exact"/>
              <w:rPr>
                <w:rFonts w:hint="eastAsia"/>
                <w:sz w:val="24"/>
              </w:rPr>
            </w:pPr>
            <w:r>
              <w:rPr>
                <w:rFonts w:hint="eastAsia"/>
                <w:sz w:val="24"/>
              </w:rPr>
              <w:t>开展省界两侧20公里内涉气重点行业新建项目环评会商。</w:t>
            </w:r>
          </w:p>
        </w:tc>
        <w:tc>
          <w:tcPr>
            <w:tcW w:w="5065" w:type="dxa"/>
            <w:noWrap/>
            <w:vAlign w:val="center"/>
          </w:tcPr>
          <w:p>
            <w:pPr>
              <w:adjustRightInd w:val="0"/>
              <w:snapToGrid w:val="0"/>
              <w:spacing w:line="400" w:lineRule="exact"/>
              <w:rPr>
                <w:rFonts w:hint="eastAsia"/>
                <w:sz w:val="24"/>
              </w:rPr>
            </w:pPr>
            <w:r>
              <w:rPr>
                <w:rFonts w:hint="eastAsia"/>
                <w:sz w:val="24"/>
              </w:rPr>
              <w:t>对省界两侧20公里内钢铁、水泥、焦化等涉气重点行业新建项目，以及对下风向空气质量影响大的新建高架源项目，开展环评一致性会商。</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8"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（二十三）加强监测预报预警能力建设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77"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72</w:t>
            </w:r>
          </w:p>
        </w:tc>
        <w:tc>
          <w:tcPr>
            <w:tcW w:w="2590" w:type="dxa"/>
            <w:noWrap/>
            <w:vAlign w:val="center"/>
          </w:tcPr>
          <w:p>
            <w:pPr>
              <w:adjustRightInd w:val="0"/>
              <w:snapToGrid w:val="0"/>
              <w:spacing w:line="400" w:lineRule="exact"/>
              <w:rPr>
                <w:rFonts w:hint="eastAsia"/>
                <w:sz w:val="24"/>
              </w:rPr>
            </w:pPr>
            <w:r>
              <w:rPr>
                <w:rFonts w:hint="eastAsia"/>
                <w:sz w:val="24"/>
              </w:rPr>
              <w:t>完善城市空气质量自动监测网络。</w:t>
            </w:r>
          </w:p>
        </w:tc>
        <w:tc>
          <w:tcPr>
            <w:tcW w:w="5065" w:type="dxa"/>
            <w:noWrap/>
            <w:vAlign w:val="center"/>
          </w:tcPr>
          <w:p>
            <w:pPr>
              <w:adjustRightInd w:val="0"/>
              <w:snapToGrid w:val="0"/>
              <w:spacing w:line="400" w:lineRule="exact"/>
              <w:rPr>
                <w:rFonts w:hint="eastAsia"/>
                <w:sz w:val="24"/>
              </w:rPr>
            </w:pPr>
            <w:r>
              <w:rPr>
                <w:rFonts w:hint="eastAsia"/>
                <w:sz w:val="24"/>
              </w:rPr>
              <w:t>持续推进细颗粒物与臭氧协同监测能力建设，不断完善颗粒物组分监测、挥发性有机物自动监测、工业园区与交通污染自动监测网络，按照“应联尽联”原则，加强数据联网，实现环境空气自动监测数据共享。</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24" w:hRule="atLeast"/>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73</w:t>
            </w:r>
          </w:p>
        </w:tc>
        <w:tc>
          <w:tcPr>
            <w:tcW w:w="2590" w:type="dxa"/>
            <w:vMerge w:val="restart"/>
            <w:noWrap/>
            <w:vAlign w:val="center"/>
          </w:tcPr>
          <w:p>
            <w:pPr>
              <w:adjustRightInd w:val="0"/>
              <w:snapToGrid w:val="0"/>
              <w:spacing w:line="400" w:lineRule="exact"/>
              <w:rPr>
                <w:rFonts w:hint="eastAsia"/>
                <w:sz w:val="24"/>
              </w:rPr>
            </w:pPr>
            <w:r>
              <w:rPr>
                <w:rFonts w:hint="eastAsia"/>
                <w:sz w:val="24"/>
              </w:rPr>
              <w:t>加强大气环境监测。</w:t>
            </w:r>
          </w:p>
        </w:tc>
        <w:tc>
          <w:tcPr>
            <w:tcW w:w="5065" w:type="dxa"/>
            <w:noWrap/>
            <w:vAlign w:val="center"/>
          </w:tcPr>
          <w:p>
            <w:pPr>
              <w:adjustRightInd w:val="0"/>
              <w:snapToGrid w:val="0"/>
              <w:spacing w:line="400" w:lineRule="exact"/>
              <w:rPr>
                <w:rFonts w:hint="eastAsia"/>
                <w:sz w:val="24"/>
              </w:rPr>
            </w:pPr>
            <w:r>
              <w:rPr>
                <w:rFonts w:hint="eastAsia"/>
                <w:sz w:val="24"/>
              </w:rPr>
              <w:t>加强机场、港口、铁路货场、物流园区、工业园区、产业集群、公路等大气环境监测。</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88"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开展非甲烷总烃和挥发性有机物的自动监测以及光化学监测。</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继续开展颗粒物组分监测。</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6"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74</w:t>
            </w:r>
          </w:p>
        </w:tc>
        <w:tc>
          <w:tcPr>
            <w:tcW w:w="2590" w:type="dxa"/>
            <w:noWrap/>
            <w:vAlign w:val="center"/>
          </w:tcPr>
          <w:p>
            <w:pPr>
              <w:adjustRightInd w:val="0"/>
              <w:snapToGrid w:val="0"/>
              <w:spacing w:line="400" w:lineRule="exact"/>
              <w:rPr>
                <w:rFonts w:hint="eastAsia"/>
                <w:sz w:val="24"/>
              </w:rPr>
            </w:pPr>
            <w:r>
              <w:rPr>
                <w:rFonts w:hint="eastAsia"/>
                <w:sz w:val="24"/>
              </w:rPr>
              <w:t>提升空气质量预报预警能力。</w:t>
            </w:r>
          </w:p>
        </w:tc>
        <w:tc>
          <w:tcPr>
            <w:tcW w:w="5065" w:type="dxa"/>
            <w:noWrap/>
            <w:vAlign w:val="center"/>
          </w:tcPr>
          <w:p>
            <w:pPr>
              <w:adjustRightInd w:val="0"/>
              <w:snapToGrid w:val="0"/>
              <w:spacing w:line="400" w:lineRule="exact"/>
              <w:rPr>
                <w:rFonts w:hint="eastAsia"/>
                <w:sz w:val="24"/>
              </w:rPr>
            </w:pPr>
            <w:r>
              <w:rPr>
                <w:rFonts w:hint="eastAsia"/>
                <w:sz w:val="24"/>
              </w:rPr>
              <w:t>提升空气质量预报预警能力。</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0"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（二十四）加强监管执法能力建设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70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75</w:t>
            </w:r>
          </w:p>
        </w:tc>
        <w:tc>
          <w:tcPr>
            <w:tcW w:w="2590" w:type="dxa"/>
            <w:noWrap/>
            <w:vAlign w:val="center"/>
          </w:tcPr>
          <w:p>
            <w:pPr>
              <w:adjustRightInd w:val="0"/>
              <w:snapToGrid w:val="0"/>
              <w:spacing w:line="400" w:lineRule="exact"/>
              <w:rPr>
                <w:rFonts w:hint="eastAsia"/>
                <w:sz w:val="24"/>
              </w:rPr>
            </w:pPr>
            <w:r>
              <w:rPr>
                <w:rFonts w:hint="eastAsia"/>
                <w:sz w:val="24"/>
              </w:rPr>
              <w:t>完善大气环境非现场执法监管体系。</w:t>
            </w:r>
          </w:p>
        </w:tc>
        <w:tc>
          <w:tcPr>
            <w:tcW w:w="5065" w:type="dxa"/>
            <w:noWrap/>
            <w:vAlign w:val="center"/>
          </w:tcPr>
          <w:p>
            <w:pPr>
              <w:adjustRightInd w:val="0"/>
              <w:snapToGrid w:val="0"/>
              <w:spacing w:line="400" w:lineRule="exact"/>
              <w:rPr>
                <w:rFonts w:hint="eastAsia"/>
                <w:sz w:val="24"/>
              </w:rPr>
            </w:pPr>
            <w:r>
              <w:rPr>
                <w:rFonts w:hint="eastAsia"/>
                <w:sz w:val="24"/>
              </w:rPr>
              <w:t>健全完善以污染源自动监控“三个全覆盖”为核心的非现场监管执法体系，加强执法与监测联动。提升各级生态环境部门执法监测能力，市、县（市、区）加快配备红外热成像仪、便携式氢火焰离子检测仪、手持式光离子化检测仪等装备。</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61"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76</w:t>
            </w:r>
          </w:p>
        </w:tc>
        <w:tc>
          <w:tcPr>
            <w:tcW w:w="2590" w:type="dxa"/>
            <w:vMerge w:val="restart"/>
            <w:noWrap/>
            <w:vAlign w:val="center"/>
          </w:tcPr>
          <w:p>
            <w:pPr>
              <w:adjustRightInd w:val="0"/>
              <w:snapToGrid w:val="0"/>
              <w:spacing w:line="400" w:lineRule="exact"/>
              <w:rPr>
                <w:rFonts w:hint="eastAsia"/>
                <w:sz w:val="24"/>
              </w:rPr>
            </w:pPr>
            <w:r>
              <w:rPr>
                <w:rFonts w:hint="eastAsia"/>
                <w:sz w:val="24"/>
              </w:rPr>
              <w:t>加强重点领域大气环境监督执法。</w:t>
            </w:r>
          </w:p>
        </w:tc>
        <w:tc>
          <w:tcPr>
            <w:tcW w:w="5065" w:type="dxa"/>
            <w:noWrap/>
            <w:vAlign w:val="center"/>
          </w:tcPr>
          <w:p>
            <w:pPr>
              <w:adjustRightInd w:val="0"/>
              <w:snapToGrid w:val="0"/>
              <w:spacing w:line="400" w:lineRule="exact"/>
              <w:rPr>
                <w:rFonts w:hint="eastAsia"/>
                <w:sz w:val="24"/>
              </w:rPr>
            </w:pPr>
            <w:r>
              <w:rPr>
                <w:rFonts w:hint="eastAsia"/>
                <w:sz w:val="24"/>
              </w:rPr>
              <w:t>持续打击重点排污单位自动监测数据弄虚作假和第三方环保服务机构弄虚作假行为，对参与弄虚作假的排污单位和第三方机构、人员依法追究责任，涉嫌犯罪的依法移送司法机关。</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4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生态环境部门要定期更新大气环境重点排污单位名录，确保符合条件的企业全覆盖。推动企业安装工况监控、用电（用能）监控、视频监控等。</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6"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77</w:t>
            </w:r>
          </w:p>
        </w:tc>
        <w:tc>
          <w:tcPr>
            <w:tcW w:w="2590" w:type="dxa"/>
            <w:noWrap/>
            <w:vAlign w:val="center"/>
          </w:tcPr>
          <w:p>
            <w:pPr>
              <w:adjustRightInd w:val="0"/>
              <w:snapToGrid w:val="0"/>
              <w:spacing w:line="400" w:lineRule="exact"/>
              <w:rPr>
                <w:rFonts w:hint="eastAsia"/>
                <w:sz w:val="24"/>
              </w:rPr>
            </w:pPr>
            <w:r>
              <w:rPr>
                <w:rFonts w:hint="eastAsia"/>
                <w:sz w:val="24"/>
              </w:rPr>
              <w:t>提高移动源环境监管能力。</w:t>
            </w:r>
          </w:p>
        </w:tc>
        <w:tc>
          <w:tcPr>
            <w:tcW w:w="5065" w:type="dxa"/>
            <w:noWrap/>
            <w:vAlign w:val="center"/>
          </w:tcPr>
          <w:p>
            <w:pPr>
              <w:adjustRightInd w:val="0"/>
              <w:snapToGrid w:val="0"/>
              <w:spacing w:line="400" w:lineRule="exact"/>
              <w:rPr>
                <w:rFonts w:hint="eastAsia"/>
                <w:sz w:val="24"/>
              </w:rPr>
            </w:pPr>
            <w:r>
              <w:rPr>
                <w:rFonts w:hint="eastAsia"/>
                <w:sz w:val="24"/>
              </w:rPr>
              <w:t>加强移动源环境监管能力建设。</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8"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（二十五）加强科技支撑能力建设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78"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78</w:t>
            </w:r>
          </w:p>
        </w:tc>
        <w:tc>
          <w:tcPr>
            <w:tcW w:w="2590" w:type="dxa"/>
            <w:noWrap/>
            <w:vAlign w:val="center"/>
          </w:tcPr>
          <w:p>
            <w:pPr>
              <w:adjustRightInd w:val="0"/>
              <w:snapToGrid w:val="0"/>
              <w:spacing w:line="400" w:lineRule="exact"/>
              <w:rPr>
                <w:rFonts w:hint="eastAsia"/>
                <w:sz w:val="24"/>
              </w:rPr>
            </w:pPr>
            <w:r>
              <w:rPr>
                <w:rFonts w:hint="eastAsia"/>
                <w:sz w:val="24"/>
              </w:rPr>
              <w:t>支持开展VOCs治理技术和路径研究。</w:t>
            </w:r>
          </w:p>
        </w:tc>
        <w:tc>
          <w:tcPr>
            <w:tcW w:w="5065" w:type="dxa"/>
            <w:noWrap/>
            <w:vAlign w:val="center"/>
          </w:tcPr>
          <w:p>
            <w:pPr>
              <w:adjustRightInd w:val="0"/>
              <w:snapToGrid w:val="0"/>
              <w:spacing w:line="400" w:lineRule="exact"/>
              <w:rPr>
                <w:rFonts w:hint="eastAsia"/>
                <w:sz w:val="24"/>
              </w:rPr>
            </w:pPr>
            <w:r>
              <w:rPr>
                <w:rFonts w:hint="eastAsia"/>
                <w:sz w:val="24"/>
              </w:rPr>
              <w:t>支持低浓度、大风量、中小型VOCs排放污染治理技术研究，提升VOCs关键功能性吸附催化材料的效果和稳定性。支持分类型工业炉窑清洁能源替代和末端治理路径研究。</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市科技局</w:t>
            </w:r>
            <w:r>
              <w:rPr>
                <w:rFonts w:hint="eastAsia"/>
                <w:sz w:val="24"/>
              </w:rPr>
              <w:t>、</w:t>
            </w:r>
            <w:r>
              <w:rPr>
                <w:rFonts w:hint="eastAsia"/>
                <w:sz w:val="24"/>
                <w:lang w:eastAsia="zh-CN"/>
              </w:rPr>
              <w:t>市生态环境局</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61"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79</w:t>
            </w:r>
          </w:p>
        </w:tc>
        <w:tc>
          <w:tcPr>
            <w:tcW w:w="2590" w:type="dxa"/>
            <w:vMerge w:val="restart"/>
            <w:noWrap/>
            <w:vAlign w:val="center"/>
          </w:tcPr>
          <w:p>
            <w:pPr>
              <w:adjustRightInd w:val="0"/>
              <w:snapToGrid w:val="0"/>
              <w:spacing w:line="400" w:lineRule="exact"/>
              <w:rPr>
                <w:rFonts w:hint="eastAsia"/>
                <w:sz w:val="24"/>
              </w:rPr>
            </w:pPr>
            <w:r>
              <w:rPr>
                <w:rFonts w:hint="eastAsia"/>
                <w:sz w:val="24"/>
              </w:rPr>
              <w:t>推动大气污染防治科技装备研发和溯源方法研究。</w:t>
            </w:r>
          </w:p>
        </w:tc>
        <w:tc>
          <w:tcPr>
            <w:tcW w:w="5065" w:type="dxa"/>
            <w:noWrap/>
            <w:vAlign w:val="center"/>
          </w:tcPr>
          <w:p>
            <w:pPr>
              <w:adjustRightInd w:val="0"/>
              <w:snapToGrid w:val="0"/>
              <w:spacing w:line="400" w:lineRule="exact"/>
              <w:rPr>
                <w:rFonts w:hint="eastAsia"/>
                <w:sz w:val="24"/>
              </w:rPr>
            </w:pPr>
            <w:r>
              <w:rPr>
                <w:rFonts w:hint="eastAsia"/>
                <w:sz w:val="24"/>
              </w:rPr>
              <w:t>开展VOCs排放污染治理、低温脱硝、氨逃逸精准调控等大气污染防治技术和装备研发，引导企业、高校院所加强致臭物质识别、恶臭污染评估和溯源技术方法等研究。</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市科技局</w:t>
            </w:r>
            <w:r>
              <w:rPr>
                <w:rFonts w:hint="eastAsia"/>
                <w:sz w:val="24"/>
              </w:rPr>
              <w:t>、</w:t>
            </w:r>
            <w:r>
              <w:rPr>
                <w:rFonts w:hint="eastAsia"/>
                <w:sz w:val="24"/>
                <w:lang w:eastAsia="zh-CN"/>
              </w:rPr>
              <w:t>市生态环境局</w:t>
            </w:r>
            <w:r>
              <w:rPr>
                <w:rFonts w:hint="eastAsia"/>
                <w:sz w:val="24"/>
              </w:rPr>
              <w:t>按职责分工负责</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8"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完成排放清单编制，实现逐年更新。</w:t>
            </w:r>
          </w:p>
        </w:tc>
        <w:tc>
          <w:tcPr>
            <w:tcW w:w="1169" w:type="dxa"/>
            <w:noWrap/>
            <w:vAlign w:val="center"/>
          </w:tcPr>
          <w:p>
            <w:pPr>
              <w:adjustRightInd w:val="0"/>
              <w:snapToGrid w:val="0"/>
              <w:spacing w:line="400" w:lineRule="exact"/>
              <w:jc w:val="center"/>
              <w:rPr>
                <w:rFonts w:hint="eastAsia"/>
                <w:sz w:val="24"/>
              </w:rPr>
            </w:pPr>
            <w:r>
              <w:rPr>
                <w:rFonts w:hint="eastAsia"/>
                <w:sz w:val="24"/>
              </w:rPr>
              <w:t>2025年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6" w:hRule="atLeast"/>
          <w:jc w:val="center"/>
        </w:trPr>
        <w:tc>
          <w:tcPr>
            <w:tcW w:w="14058" w:type="dxa"/>
            <w:gridSpan w:val="7"/>
            <w:noWrap/>
            <w:vAlign w:val="center"/>
          </w:tcPr>
          <w:p>
            <w:pPr>
              <w:adjustRightInd w:val="0"/>
              <w:snapToGrid w:val="0"/>
              <w:spacing w:line="380" w:lineRule="exact"/>
              <w:rPr>
                <w:rFonts w:hint="eastAsia" w:eastAsia="方正楷体_GBK"/>
                <w:sz w:val="24"/>
              </w:rPr>
            </w:pPr>
            <w:r>
              <w:rPr>
                <w:rFonts w:hint="eastAsia" w:eastAsia="方正楷体_GBK"/>
                <w:sz w:val="24"/>
              </w:rPr>
              <w:t>（二十六）严格落实法律法规和标准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72" w:hRule="atLeast"/>
          <w:jc w:val="center"/>
        </w:trPr>
        <w:tc>
          <w:tcPr>
            <w:tcW w:w="694" w:type="dxa"/>
            <w:noWrap/>
            <w:vAlign w:val="center"/>
          </w:tcPr>
          <w:p>
            <w:pPr>
              <w:adjustRightInd w:val="0"/>
              <w:snapToGrid w:val="0"/>
              <w:spacing w:line="380" w:lineRule="exact"/>
              <w:jc w:val="center"/>
              <w:rPr>
                <w:rFonts w:hint="eastAsia" w:eastAsia="方正楷体_GBK"/>
                <w:sz w:val="24"/>
              </w:rPr>
            </w:pPr>
            <w:r>
              <w:rPr>
                <w:rFonts w:hint="eastAsia" w:eastAsia="方正楷体_GBK"/>
                <w:sz w:val="24"/>
              </w:rPr>
              <w:t>80</w:t>
            </w:r>
          </w:p>
        </w:tc>
        <w:tc>
          <w:tcPr>
            <w:tcW w:w="2590" w:type="dxa"/>
            <w:noWrap/>
            <w:vAlign w:val="center"/>
          </w:tcPr>
          <w:p>
            <w:pPr>
              <w:adjustRightInd w:val="0"/>
              <w:snapToGrid w:val="0"/>
              <w:spacing w:line="380" w:lineRule="exact"/>
              <w:rPr>
                <w:rFonts w:hint="eastAsia"/>
                <w:sz w:val="24"/>
              </w:rPr>
            </w:pPr>
            <w:r>
              <w:rPr>
                <w:rFonts w:hint="eastAsia"/>
                <w:sz w:val="24"/>
              </w:rPr>
              <w:t>加强大气污染防治法治保障。</w:t>
            </w:r>
          </w:p>
        </w:tc>
        <w:tc>
          <w:tcPr>
            <w:tcW w:w="5065" w:type="dxa"/>
            <w:noWrap/>
            <w:vAlign w:val="center"/>
          </w:tcPr>
          <w:p>
            <w:pPr>
              <w:adjustRightInd w:val="0"/>
              <w:snapToGrid w:val="0"/>
              <w:spacing w:line="380" w:lineRule="exact"/>
              <w:rPr>
                <w:rFonts w:hint="eastAsia"/>
                <w:sz w:val="24"/>
              </w:rPr>
            </w:pPr>
            <w:r>
              <w:rPr>
                <w:rFonts w:hint="eastAsia"/>
                <w:sz w:val="24"/>
              </w:rPr>
              <w:t>严格落实国家制（修）订的大气污染防治法、清洁生产促进法和移动源污染防治管理办法，探索相关领域“小快灵”立法，确保惩戒环境污染行为有法可依、有章可循。</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sz w:val="24"/>
              </w:rPr>
            </w:pPr>
            <w:r>
              <w:rPr>
                <w:rFonts w:hint="eastAsia"/>
                <w:sz w:val="24"/>
                <w:lang w:eastAsia="zh-CN"/>
              </w:rPr>
              <w:t>市生态环境局</w:t>
            </w:r>
            <w:r>
              <w:rPr>
                <w:rFonts w:hint="eastAsia"/>
                <w:sz w:val="24"/>
              </w:rPr>
              <w:t>、</w:t>
            </w:r>
            <w:r>
              <w:rPr>
                <w:rFonts w:hint="eastAsia"/>
                <w:sz w:val="24"/>
                <w:lang w:eastAsia="zh-CN"/>
              </w:rPr>
              <w:t>市发展改革委</w:t>
            </w:r>
            <w:r>
              <w:rPr>
                <w:rFonts w:hint="eastAsia"/>
                <w:sz w:val="24"/>
              </w:rPr>
              <w:t>、</w:t>
            </w:r>
            <w:r>
              <w:rPr>
                <w:rFonts w:hint="eastAsia"/>
                <w:sz w:val="24"/>
                <w:lang w:eastAsia="zh-CN"/>
              </w:rPr>
              <w:t>市司法局</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市交通运输局</w:t>
            </w:r>
            <w:r>
              <w:rPr>
                <w:rFonts w:hint="eastAsia"/>
                <w:sz w:val="24"/>
              </w:rPr>
              <w:t>、</w:t>
            </w:r>
            <w:r>
              <w:rPr>
                <w:rFonts w:hint="eastAsia"/>
                <w:sz w:val="24"/>
                <w:lang w:eastAsia="zh-CN"/>
              </w:rPr>
              <w:t>市商务局</w:t>
            </w:r>
            <w:r>
              <w:rPr>
                <w:rFonts w:hint="eastAsia"/>
                <w:sz w:val="24"/>
              </w:rPr>
              <w:t>、</w:t>
            </w:r>
            <w:r>
              <w:rPr>
                <w:rFonts w:hint="eastAsia"/>
                <w:sz w:val="24"/>
                <w:lang w:eastAsia="zh-CN"/>
              </w:rPr>
              <w:t>市市场监管局</w:t>
            </w:r>
            <w:r>
              <w:rPr>
                <w:rFonts w:hint="eastAsia"/>
                <w:sz w:val="24"/>
              </w:rPr>
              <w:t>等按职责分工负责</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81</w:t>
            </w:r>
          </w:p>
        </w:tc>
        <w:tc>
          <w:tcPr>
            <w:tcW w:w="2590" w:type="dxa"/>
            <w:vMerge w:val="restart"/>
            <w:noWrap/>
            <w:vAlign w:val="center"/>
          </w:tcPr>
          <w:p>
            <w:pPr>
              <w:adjustRightInd w:val="0"/>
              <w:snapToGrid w:val="0"/>
              <w:spacing w:line="380" w:lineRule="exact"/>
              <w:rPr>
                <w:rFonts w:hint="eastAsia"/>
                <w:sz w:val="24"/>
              </w:rPr>
            </w:pPr>
            <w:r>
              <w:rPr>
                <w:rFonts w:hint="eastAsia"/>
                <w:sz w:val="24"/>
              </w:rPr>
              <w:t>严格落实强制性国家标准、产品标识制度、治理技术要求。</w:t>
            </w:r>
          </w:p>
        </w:tc>
        <w:tc>
          <w:tcPr>
            <w:tcW w:w="5065" w:type="dxa"/>
            <w:noWrap/>
            <w:vAlign w:val="center"/>
          </w:tcPr>
          <w:p>
            <w:pPr>
              <w:adjustRightInd w:val="0"/>
              <w:snapToGrid w:val="0"/>
              <w:spacing w:line="380" w:lineRule="exact"/>
              <w:rPr>
                <w:rFonts w:hint="eastAsia"/>
                <w:sz w:val="24"/>
              </w:rPr>
            </w:pPr>
            <w:r>
              <w:rPr>
                <w:rFonts w:hint="eastAsia"/>
                <w:sz w:val="24"/>
              </w:rPr>
              <w:t>落实涂层剂、聚氨酯树脂、家用洗涤剂、杀虫气雾剂等VOCs含量限值强制性国家标准、低（无）VOCs含量产品标识制度、有机废气治理用活性炭技术要求。</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严格落实国家环境空气质量标准、大气污染物排放标准、能耗标准、机动车排放标准和生物质成型燃料产品质量、铁路内燃机车污染物排放等强制性国家标准。</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sz w:val="24"/>
              </w:rPr>
            </w:pPr>
            <w:r>
              <w:rPr>
                <w:rFonts w:hint="eastAsia"/>
                <w:sz w:val="24"/>
                <w:lang w:eastAsia="zh-CN"/>
              </w:rPr>
              <w:t>市发展改革委</w:t>
            </w:r>
            <w:r>
              <w:rPr>
                <w:rFonts w:hint="eastAsia"/>
                <w:sz w:val="24"/>
              </w:rPr>
              <w:t>、</w:t>
            </w:r>
            <w:r>
              <w:rPr>
                <w:rFonts w:hint="eastAsia"/>
                <w:sz w:val="24"/>
                <w:lang w:eastAsia="zh-CN"/>
              </w:rPr>
              <w:t>市工业和信息化局</w:t>
            </w:r>
            <w:r>
              <w:rPr>
                <w:rFonts w:hint="eastAsia"/>
                <w:sz w:val="24"/>
              </w:rPr>
              <w:t>、</w:t>
            </w:r>
            <w:r>
              <w:rPr>
                <w:rFonts w:hint="eastAsia"/>
                <w:sz w:val="24"/>
                <w:lang w:eastAsia="zh-CN"/>
              </w:rPr>
              <w:t>市生态环境局</w:t>
            </w:r>
            <w:r>
              <w:rPr>
                <w:rFonts w:hint="eastAsia"/>
                <w:sz w:val="24"/>
              </w:rPr>
              <w:t>、</w:t>
            </w:r>
            <w:r>
              <w:rPr>
                <w:rFonts w:hint="eastAsia"/>
                <w:sz w:val="24"/>
                <w:lang w:eastAsia="zh-CN"/>
              </w:rPr>
              <w:t>市公安局</w:t>
            </w:r>
            <w:r>
              <w:rPr>
                <w:rFonts w:hint="eastAsia"/>
                <w:sz w:val="24"/>
              </w:rPr>
              <w:t>、</w:t>
            </w:r>
            <w:r>
              <w:rPr>
                <w:rFonts w:hint="eastAsia"/>
                <w:sz w:val="24"/>
                <w:lang w:eastAsia="zh-CN"/>
              </w:rPr>
              <w:t>市市场监管局</w:t>
            </w:r>
            <w:r>
              <w:rPr>
                <w:rFonts w:hint="eastAsia"/>
                <w:sz w:val="24"/>
              </w:rPr>
              <w:t>等按职责分工负责</w:t>
            </w:r>
          </w:p>
        </w:tc>
        <w:tc>
          <w:tcPr>
            <w:tcW w:w="2276" w:type="dxa"/>
            <w:gridSpan w:val="2"/>
            <w:noWrap/>
            <w:vAlign w:val="center"/>
          </w:tcPr>
          <w:p>
            <w:pPr>
              <w:adjustRightInd w:val="0"/>
              <w:snapToGrid w:val="0"/>
              <w:spacing w:line="38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1" w:hRule="atLeast"/>
          <w:jc w:val="center"/>
        </w:trPr>
        <w:tc>
          <w:tcPr>
            <w:tcW w:w="14058" w:type="dxa"/>
            <w:gridSpan w:val="7"/>
            <w:noWrap/>
            <w:vAlign w:val="center"/>
          </w:tcPr>
          <w:p>
            <w:pPr>
              <w:adjustRightInd w:val="0"/>
              <w:snapToGrid w:val="0"/>
              <w:spacing w:line="380" w:lineRule="exact"/>
              <w:rPr>
                <w:rFonts w:hint="eastAsia" w:eastAsia="方正楷体_GBK"/>
                <w:sz w:val="24"/>
              </w:rPr>
            </w:pPr>
            <w:r>
              <w:rPr>
                <w:rFonts w:hint="eastAsia" w:eastAsia="方正楷体_GBK"/>
                <w:sz w:val="24"/>
              </w:rPr>
              <w:t>（二十七）完善落实价格税费政策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694" w:type="dxa"/>
            <w:vMerge w:val="restart"/>
            <w:noWrap/>
            <w:vAlign w:val="center"/>
          </w:tcPr>
          <w:p>
            <w:pPr>
              <w:adjustRightInd w:val="0"/>
              <w:snapToGrid w:val="0"/>
              <w:spacing w:line="380" w:lineRule="exact"/>
              <w:jc w:val="center"/>
              <w:rPr>
                <w:rFonts w:hint="eastAsia" w:eastAsia="方正楷体_GBK"/>
                <w:sz w:val="24"/>
              </w:rPr>
            </w:pPr>
            <w:r>
              <w:rPr>
                <w:rFonts w:hint="eastAsia" w:eastAsia="方正楷体_GBK"/>
                <w:sz w:val="24"/>
              </w:rPr>
              <w:t>83</w:t>
            </w:r>
          </w:p>
        </w:tc>
        <w:tc>
          <w:tcPr>
            <w:tcW w:w="2590" w:type="dxa"/>
            <w:vMerge w:val="restart"/>
            <w:noWrap/>
            <w:vAlign w:val="center"/>
          </w:tcPr>
          <w:p>
            <w:pPr>
              <w:adjustRightInd w:val="0"/>
              <w:snapToGrid w:val="0"/>
              <w:spacing w:line="380" w:lineRule="exact"/>
              <w:rPr>
                <w:rFonts w:hint="eastAsia"/>
                <w:sz w:val="24"/>
              </w:rPr>
            </w:pPr>
            <w:r>
              <w:rPr>
                <w:rFonts w:hint="eastAsia"/>
                <w:sz w:val="24"/>
              </w:rPr>
              <w:t>完善峰谷分时电价政策。</w:t>
            </w:r>
          </w:p>
        </w:tc>
        <w:tc>
          <w:tcPr>
            <w:tcW w:w="5065" w:type="dxa"/>
            <w:noWrap/>
            <w:vAlign w:val="center"/>
          </w:tcPr>
          <w:p>
            <w:pPr>
              <w:adjustRightInd w:val="0"/>
              <w:snapToGrid w:val="0"/>
              <w:spacing w:line="380" w:lineRule="exact"/>
              <w:rPr>
                <w:rFonts w:hint="eastAsia"/>
                <w:sz w:val="24"/>
              </w:rPr>
            </w:pPr>
            <w:r>
              <w:rPr>
                <w:rFonts w:hint="eastAsia"/>
                <w:sz w:val="24"/>
              </w:rPr>
              <w:t>优化时段划分，扩大浮动比例，调整尖峰电价政策。</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市供电公司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落实高耗能行业差别电价政策，完善高耗能行业阶梯电价制度。</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市工业和信息化局</w:t>
            </w:r>
            <w:r>
              <w:rPr>
                <w:rFonts w:hint="eastAsia"/>
                <w:sz w:val="24"/>
              </w:rPr>
              <w:t>、</w:t>
            </w:r>
            <w:r>
              <w:rPr>
                <w:rFonts w:hint="eastAsia"/>
                <w:sz w:val="24"/>
                <w:lang w:eastAsia="zh-CN"/>
              </w:rPr>
              <w:t>市生态环境局、市供电公司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694" w:type="dxa"/>
            <w:vMerge w:val="continue"/>
            <w:noWrap/>
            <w:vAlign w:val="center"/>
          </w:tcPr>
          <w:p>
            <w:pPr>
              <w:adjustRightInd w:val="0"/>
              <w:snapToGrid w:val="0"/>
              <w:spacing w:line="380" w:lineRule="exact"/>
              <w:jc w:val="center"/>
              <w:rPr>
                <w:rFonts w:hint="eastAsia" w:eastAsia="方正楷体_GBK"/>
                <w:sz w:val="24"/>
              </w:rPr>
            </w:pPr>
          </w:p>
        </w:tc>
        <w:tc>
          <w:tcPr>
            <w:tcW w:w="2590" w:type="dxa"/>
            <w:vMerge w:val="continue"/>
            <w:noWrap/>
            <w:vAlign w:val="center"/>
          </w:tcPr>
          <w:p>
            <w:pPr>
              <w:adjustRightInd w:val="0"/>
              <w:snapToGrid w:val="0"/>
              <w:spacing w:line="380" w:lineRule="exact"/>
              <w:rPr>
                <w:rFonts w:hint="eastAsia"/>
                <w:sz w:val="24"/>
              </w:rPr>
            </w:pPr>
          </w:p>
        </w:tc>
        <w:tc>
          <w:tcPr>
            <w:tcW w:w="5065" w:type="dxa"/>
            <w:noWrap/>
            <w:vAlign w:val="center"/>
          </w:tcPr>
          <w:p>
            <w:pPr>
              <w:adjustRightInd w:val="0"/>
              <w:snapToGrid w:val="0"/>
              <w:spacing w:line="380" w:lineRule="exact"/>
              <w:rPr>
                <w:rFonts w:hint="eastAsia"/>
                <w:sz w:val="24"/>
              </w:rPr>
            </w:pPr>
            <w:r>
              <w:rPr>
                <w:rFonts w:hint="eastAsia"/>
                <w:sz w:val="24"/>
              </w:rPr>
              <w:t>鼓励各市对新能源城市公共汽电车充电给予积极支持。</w:t>
            </w:r>
          </w:p>
        </w:tc>
        <w:tc>
          <w:tcPr>
            <w:tcW w:w="1169" w:type="dxa"/>
            <w:noWrap/>
            <w:vAlign w:val="center"/>
          </w:tcPr>
          <w:p>
            <w:pPr>
              <w:adjustRightInd w:val="0"/>
              <w:snapToGrid w:val="0"/>
              <w:spacing w:line="380" w:lineRule="exact"/>
              <w:jc w:val="center"/>
              <w:rPr>
                <w:rFonts w:hint="eastAsia"/>
                <w:sz w:val="24"/>
              </w:rPr>
            </w:pPr>
            <w:r>
              <w:rPr>
                <w:rFonts w:hint="eastAsia"/>
                <w:sz w:val="24"/>
              </w:rPr>
              <w:t>持续推进</w:t>
            </w:r>
          </w:p>
        </w:tc>
        <w:tc>
          <w:tcPr>
            <w:tcW w:w="2264" w:type="dxa"/>
            <w:noWrap/>
            <w:vAlign w:val="center"/>
          </w:tcPr>
          <w:p>
            <w:pPr>
              <w:adjustRightInd w:val="0"/>
              <w:snapToGrid w:val="0"/>
              <w:spacing w:line="38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380" w:lineRule="exact"/>
              <w:rPr>
                <w:rFonts w:hint="eastAsia" w:eastAsia="宋体"/>
                <w:sz w:val="24"/>
                <w:lang w:eastAsia="zh-CN"/>
              </w:rPr>
            </w:pPr>
            <w:r>
              <w:rPr>
                <w:rFonts w:hint="eastAsia"/>
                <w:sz w:val="24"/>
                <w:lang w:eastAsia="zh-CN"/>
              </w:rPr>
              <w:t>市交通运输局</w:t>
            </w:r>
            <w:r>
              <w:rPr>
                <w:rFonts w:hint="eastAsia"/>
                <w:sz w:val="24"/>
              </w:rPr>
              <w:t>、</w:t>
            </w:r>
            <w:r>
              <w:rPr>
                <w:rFonts w:hint="eastAsia"/>
                <w:sz w:val="24"/>
                <w:lang w:eastAsia="zh-CN"/>
              </w:rPr>
              <w:t>市发展改革委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7"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84</w:t>
            </w:r>
          </w:p>
        </w:tc>
        <w:tc>
          <w:tcPr>
            <w:tcW w:w="2590" w:type="dxa"/>
            <w:vMerge w:val="restart"/>
            <w:noWrap/>
            <w:vAlign w:val="center"/>
          </w:tcPr>
          <w:p>
            <w:pPr>
              <w:adjustRightInd w:val="0"/>
              <w:snapToGrid w:val="0"/>
              <w:spacing w:line="400" w:lineRule="exact"/>
              <w:rPr>
                <w:rFonts w:hint="eastAsia"/>
                <w:sz w:val="24"/>
              </w:rPr>
            </w:pPr>
            <w:r>
              <w:rPr>
                <w:rFonts w:hint="eastAsia"/>
                <w:sz w:val="24"/>
              </w:rPr>
              <w:t>继续对港口岸基两部制用电实施支持性电价政策。</w:t>
            </w:r>
          </w:p>
        </w:tc>
        <w:tc>
          <w:tcPr>
            <w:tcW w:w="5065" w:type="dxa"/>
            <w:noWrap/>
            <w:vAlign w:val="center"/>
          </w:tcPr>
          <w:p>
            <w:pPr>
              <w:adjustRightInd w:val="0"/>
              <w:snapToGrid w:val="0"/>
              <w:spacing w:line="400" w:lineRule="exact"/>
              <w:rPr>
                <w:rFonts w:hint="eastAsia"/>
                <w:sz w:val="24"/>
              </w:rPr>
            </w:pPr>
            <w:r>
              <w:rPr>
                <w:rFonts w:hint="eastAsia"/>
                <w:sz w:val="24"/>
              </w:rPr>
              <w:t>对港口货物装卸、港口设施服务、港口岸电运营商、机场岸基用电执行工商业单一制电价，不收基本电费。</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5"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加快码头岸电设施升级改造和600总吨以上船舶受电设施改造。</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市交通运输局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16"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85</w:t>
            </w:r>
          </w:p>
        </w:tc>
        <w:tc>
          <w:tcPr>
            <w:tcW w:w="2590" w:type="dxa"/>
            <w:noWrap/>
            <w:vAlign w:val="center"/>
          </w:tcPr>
          <w:p>
            <w:pPr>
              <w:adjustRightInd w:val="0"/>
              <w:snapToGrid w:val="0"/>
              <w:spacing w:line="400" w:lineRule="exact"/>
              <w:rPr>
                <w:rFonts w:hint="eastAsia"/>
                <w:sz w:val="24"/>
              </w:rPr>
            </w:pPr>
            <w:r>
              <w:rPr>
                <w:rFonts w:hint="eastAsia"/>
                <w:sz w:val="24"/>
              </w:rPr>
              <w:t>建立完善天然气终端销售与采购价格联动机制。</w:t>
            </w:r>
          </w:p>
        </w:tc>
        <w:tc>
          <w:tcPr>
            <w:tcW w:w="5065" w:type="dxa"/>
            <w:noWrap/>
            <w:vAlign w:val="center"/>
          </w:tcPr>
          <w:p>
            <w:pPr>
              <w:adjustRightInd w:val="0"/>
              <w:snapToGrid w:val="0"/>
              <w:spacing w:line="400" w:lineRule="exact"/>
              <w:rPr>
                <w:rFonts w:hint="eastAsia"/>
                <w:sz w:val="24"/>
              </w:rPr>
            </w:pPr>
            <w:r>
              <w:rPr>
                <w:rFonts w:hint="eastAsia"/>
                <w:sz w:val="24"/>
              </w:rPr>
              <w:t>加强天然气管道短输价格定期校核，按照“准许成本+合理收益”原则，合理调整价格。加强城镇燃气配气价格监管，统一开展年度定期校核调整。推动建立完善天然气价格联动机制，原则上2024年8月底前市、县需全部建立。</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14"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86</w:t>
            </w:r>
          </w:p>
        </w:tc>
        <w:tc>
          <w:tcPr>
            <w:tcW w:w="2590" w:type="dxa"/>
            <w:noWrap/>
            <w:vAlign w:val="center"/>
          </w:tcPr>
          <w:p>
            <w:pPr>
              <w:adjustRightInd w:val="0"/>
              <w:snapToGrid w:val="0"/>
              <w:spacing w:line="400" w:lineRule="exact"/>
              <w:rPr>
                <w:rFonts w:hint="eastAsia"/>
                <w:sz w:val="24"/>
              </w:rPr>
            </w:pPr>
            <w:r>
              <w:rPr>
                <w:rFonts w:hint="eastAsia"/>
                <w:sz w:val="24"/>
              </w:rPr>
              <w:t>进一步完善铁路运价调整机制。</w:t>
            </w:r>
          </w:p>
        </w:tc>
        <w:tc>
          <w:tcPr>
            <w:tcW w:w="5065" w:type="dxa"/>
            <w:noWrap/>
            <w:vAlign w:val="center"/>
          </w:tcPr>
          <w:p>
            <w:pPr>
              <w:adjustRightInd w:val="0"/>
              <w:snapToGrid w:val="0"/>
              <w:spacing w:line="400" w:lineRule="exact"/>
              <w:rPr>
                <w:rFonts w:hint="eastAsia"/>
                <w:sz w:val="24"/>
              </w:rPr>
            </w:pPr>
            <w:r>
              <w:rPr>
                <w:rFonts w:hint="eastAsia"/>
                <w:sz w:val="24"/>
              </w:rPr>
              <w:t>规范铁路货运杂费收费行为，进一步完善铁路运价调整机制，研究推行“一口价”收费政策。推广采用“量价互保”协议运输模式。</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19"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87</w:t>
            </w:r>
          </w:p>
        </w:tc>
        <w:tc>
          <w:tcPr>
            <w:tcW w:w="2590" w:type="dxa"/>
            <w:noWrap/>
            <w:vAlign w:val="center"/>
          </w:tcPr>
          <w:p>
            <w:pPr>
              <w:adjustRightInd w:val="0"/>
              <w:snapToGrid w:val="0"/>
              <w:spacing w:line="400" w:lineRule="exact"/>
              <w:rPr>
                <w:rFonts w:hint="eastAsia"/>
                <w:sz w:val="24"/>
              </w:rPr>
            </w:pPr>
            <w:r>
              <w:rPr>
                <w:rFonts w:hint="eastAsia"/>
                <w:sz w:val="24"/>
              </w:rPr>
              <w:t>加强环境保护税征收管理。</w:t>
            </w:r>
          </w:p>
        </w:tc>
        <w:tc>
          <w:tcPr>
            <w:tcW w:w="5065" w:type="dxa"/>
            <w:noWrap/>
            <w:vAlign w:val="center"/>
          </w:tcPr>
          <w:p>
            <w:pPr>
              <w:adjustRightInd w:val="0"/>
              <w:snapToGrid w:val="0"/>
              <w:spacing w:line="400" w:lineRule="exact"/>
              <w:rPr>
                <w:rFonts w:hint="eastAsia"/>
                <w:sz w:val="24"/>
              </w:rPr>
            </w:pPr>
            <w:r>
              <w:rPr>
                <w:rFonts w:hint="eastAsia"/>
                <w:sz w:val="24"/>
              </w:rPr>
              <w:t>落实节能环保、新能源和清洁能源、资源综合利用等减污降碳绿色税费政策。完善建筑施工扬尘环境保护税征管机制，落实国家将VOCs纳入环境保护税征收范围的税制改革政策。</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lang w:eastAsia="zh-CN"/>
              </w:rPr>
              <w:t>市</w:t>
            </w:r>
            <w:r>
              <w:rPr>
                <w:rFonts w:hint="eastAsia"/>
                <w:sz w:val="24"/>
              </w:rPr>
              <w:t>税务局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（二十八）加强财政金融政策引导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34"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88</w:t>
            </w:r>
          </w:p>
        </w:tc>
        <w:tc>
          <w:tcPr>
            <w:tcW w:w="2590" w:type="dxa"/>
            <w:noWrap/>
            <w:vAlign w:val="center"/>
          </w:tcPr>
          <w:p>
            <w:pPr>
              <w:adjustRightInd w:val="0"/>
              <w:snapToGrid w:val="0"/>
              <w:spacing w:line="400" w:lineRule="exact"/>
              <w:rPr>
                <w:rFonts w:hint="eastAsia"/>
                <w:sz w:val="24"/>
              </w:rPr>
            </w:pPr>
            <w:r>
              <w:rPr>
                <w:rFonts w:hint="eastAsia"/>
                <w:sz w:val="24"/>
              </w:rPr>
              <w:t>加强各类资金引导。</w:t>
            </w:r>
          </w:p>
        </w:tc>
        <w:tc>
          <w:tcPr>
            <w:tcW w:w="5065" w:type="dxa"/>
            <w:noWrap/>
            <w:vAlign w:val="center"/>
          </w:tcPr>
          <w:p>
            <w:pPr>
              <w:adjustRightInd w:val="0"/>
              <w:snapToGrid w:val="0"/>
              <w:spacing w:line="400" w:lineRule="exact"/>
              <w:rPr>
                <w:rFonts w:hint="eastAsia"/>
                <w:sz w:val="24"/>
              </w:rPr>
            </w:pPr>
            <w:r>
              <w:rPr>
                <w:rFonts w:hint="eastAsia"/>
                <w:sz w:val="24"/>
              </w:rPr>
              <w:t>健全多元化投入机制，引导金融资本和社会资本支持空气质量改善。积极争取中央大气污染防治资金，加强省级生态环境专项资金统筹，强化对减污降碳协同项目的支持力度。</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市财政局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6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89</w:t>
            </w:r>
          </w:p>
        </w:tc>
        <w:tc>
          <w:tcPr>
            <w:tcW w:w="2590" w:type="dxa"/>
            <w:noWrap/>
            <w:vAlign w:val="center"/>
          </w:tcPr>
          <w:p>
            <w:pPr>
              <w:adjustRightInd w:val="0"/>
              <w:snapToGrid w:val="0"/>
              <w:spacing w:line="400" w:lineRule="exact"/>
              <w:rPr>
                <w:rFonts w:hint="eastAsia"/>
                <w:sz w:val="24"/>
              </w:rPr>
            </w:pPr>
            <w:r>
              <w:rPr>
                <w:rFonts w:hint="eastAsia"/>
                <w:sz w:val="24"/>
              </w:rPr>
              <w:t>落实信贷融资支持政策。</w:t>
            </w:r>
          </w:p>
        </w:tc>
        <w:tc>
          <w:tcPr>
            <w:tcW w:w="5065" w:type="dxa"/>
            <w:noWrap/>
            <w:vAlign w:val="center"/>
          </w:tcPr>
          <w:p>
            <w:pPr>
              <w:adjustRightInd w:val="0"/>
              <w:snapToGrid w:val="0"/>
              <w:spacing w:line="400" w:lineRule="exact"/>
              <w:rPr>
                <w:rFonts w:hint="eastAsia"/>
                <w:sz w:val="24"/>
              </w:rPr>
            </w:pPr>
            <w:r>
              <w:rPr>
                <w:rFonts w:hint="eastAsia"/>
                <w:sz w:val="24"/>
              </w:rPr>
              <w:t>按照市场化、法治化原则，落实好货币信贷政策，引导金融机构加大对传统产业及集群升级、工业污染治理、铁路专用线建设、新能源铁路装备推广等领域信贷融资支持力度。</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rPr>
              <w:t>人行</w:t>
            </w:r>
            <w:r>
              <w:rPr>
                <w:rFonts w:hint="eastAsia"/>
                <w:sz w:val="24"/>
                <w:lang w:eastAsia="zh-CN"/>
              </w:rPr>
              <w:t>淮北市</w:t>
            </w:r>
            <w:r>
              <w:rPr>
                <w:rFonts w:hint="eastAsia"/>
                <w:sz w:val="24"/>
              </w:rPr>
              <w:t>分行</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15"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90</w:t>
            </w:r>
          </w:p>
        </w:tc>
        <w:tc>
          <w:tcPr>
            <w:tcW w:w="2590" w:type="dxa"/>
            <w:noWrap/>
            <w:vAlign w:val="center"/>
          </w:tcPr>
          <w:p>
            <w:pPr>
              <w:adjustRightInd w:val="0"/>
              <w:snapToGrid w:val="0"/>
              <w:spacing w:line="400" w:lineRule="exact"/>
              <w:rPr>
                <w:rFonts w:hint="eastAsia"/>
                <w:sz w:val="24"/>
              </w:rPr>
            </w:pPr>
            <w:r>
              <w:rPr>
                <w:rFonts w:hint="eastAsia"/>
                <w:sz w:val="24"/>
              </w:rPr>
              <w:t>开展绿色金融业绩评价。</w:t>
            </w:r>
          </w:p>
        </w:tc>
        <w:tc>
          <w:tcPr>
            <w:tcW w:w="5065" w:type="dxa"/>
            <w:noWrap/>
            <w:vAlign w:val="center"/>
          </w:tcPr>
          <w:p>
            <w:pPr>
              <w:adjustRightInd w:val="0"/>
              <w:snapToGrid w:val="0"/>
              <w:spacing w:line="400" w:lineRule="exact"/>
              <w:rPr>
                <w:rFonts w:hint="eastAsia"/>
                <w:sz w:val="24"/>
              </w:rPr>
            </w:pPr>
            <w:r>
              <w:rPr>
                <w:rFonts w:hint="eastAsia"/>
                <w:sz w:val="24"/>
              </w:rPr>
              <w:t>按季做好全</w:t>
            </w:r>
            <w:r>
              <w:rPr>
                <w:rFonts w:hint="eastAsia"/>
                <w:sz w:val="24"/>
                <w:lang w:eastAsia="zh-CN"/>
              </w:rPr>
              <w:t>市</w:t>
            </w:r>
            <w:r>
              <w:rPr>
                <w:rFonts w:hint="eastAsia"/>
                <w:sz w:val="24"/>
              </w:rPr>
              <w:t>银行业法人金融机构绿色金融业绩评价工作，将评价结果纳入央行评级，采取培训、通报、督导等多种方式加强评价结果的应用。有序做好金融机构绿色金融综合评价试点工作。</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rPr>
              <w:t>人行</w:t>
            </w:r>
            <w:r>
              <w:rPr>
                <w:rFonts w:hint="eastAsia"/>
                <w:sz w:val="24"/>
                <w:lang w:eastAsia="zh-CN"/>
              </w:rPr>
              <w:t>淮北市</w:t>
            </w:r>
            <w:r>
              <w:rPr>
                <w:rFonts w:hint="eastAsia"/>
                <w:sz w:val="24"/>
              </w:rPr>
              <w:t>分行</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3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91</w:t>
            </w:r>
          </w:p>
        </w:tc>
        <w:tc>
          <w:tcPr>
            <w:tcW w:w="2590" w:type="dxa"/>
            <w:noWrap/>
            <w:vAlign w:val="center"/>
          </w:tcPr>
          <w:p>
            <w:pPr>
              <w:adjustRightInd w:val="0"/>
              <w:snapToGrid w:val="0"/>
              <w:spacing w:line="400" w:lineRule="exact"/>
              <w:rPr>
                <w:rFonts w:hint="eastAsia"/>
                <w:sz w:val="24"/>
              </w:rPr>
            </w:pPr>
            <w:r>
              <w:rPr>
                <w:rFonts w:hint="eastAsia"/>
                <w:sz w:val="24"/>
              </w:rPr>
              <w:t>引导发行绿色金融债。</w:t>
            </w:r>
          </w:p>
        </w:tc>
        <w:tc>
          <w:tcPr>
            <w:tcW w:w="5065" w:type="dxa"/>
            <w:noWrap/>
            <w:vAlign w:val="center"/>
          </w:tcPr>
          <w:p>
            <w:pPr>
              <w:adjustRightInd w:val="0"/>
              <w:snapToGrid w:val="0"/>
              <w:spacing w:line="400" w:lineRule="exact"/>
              <w:rPr>
                <w:rFonts w:hint="eastAsia"/>
                <w:color w:val="FF0000"/>
                <w:sz w:val="24"/>
              </w:rPr>
            </w:pPr>
            <w:r>
              <w:rPr>
                <w:rFonts w:hint="eastAsia"/>
                <w:color w:val="FF0000"/>
                <w:sz w:val="24"/>
              </w:rPr>
              <w:t>着力引导地方法人金融机构发行绿色金融债，提高对绿色产业的信贷支持力度，推动更多符合条件的企业发行绿色债务融资工具，不断拓宽资金募集渠道。</w:t>
            </w:r>
          </w:p>
        </w:tc>
        <w:tc>
          <w:tcPr>
            <w:tcW w:w="1169" w:type="dxa"/>
            <w:noWrap/>
            <w:vAlign w:val="center"/>
          </w:tcPr>
          <w:p>
            <w:pPr>
              <w:adjustRightInd w:val="0"/>
              <w:snapToGrid w:val="0"/>
              <w:spacing w:line="400" w:lineRule="exact"/>
              <w:jc w:val="center"/>
              <w:rPr>
                <w:rFonts w:hint="eastAsia"/>
                <w:color w:val="FF0000"/>
                <w:sz w:val="24"/>
              </w:rPr>
            </w:pPr>
            <w:r>
              <w:rPr>
                <w:rFonts w:hint="eastAsia"/>
                <w:color w:val="FF0000"/>
                <w:sz w:val="24"/>
              </w:rPr>
              <w:t>持续推进</w:t>
            </w:r>
          </w:p>
        </w:tc>
        <w:tc>
          <w:tcPr>
            <w:tcW w:w="2264" w:type="dxa"/>
            <w:noWrap/>
            <w:vAlign w:val="center"/>
          </w:tcPr>
          <w:p>
            <w:pPr>
              <w:adjustRightInd w:val="0"/>
              <w:snapToGrid w:val="0"/>
              <w:spacing w:line="400" w:lineRule="exact"/>
              <w:rPr>
                <w:rFonts w:hint="eastAsia"/>
                <w:color w:val="FF0000"/>
                <w:sz w:val="24"/>
              </w:rPr>
            </w:pPr>
            <w:r>
              <w:rPr>
                <w:rFonts w:hint="eastAsia"/>
                <w:color w:val="FF0000"/>
                <w:sz w:val="24"/>
              </w:rPr>
              <w:t>人行</w:t>
            </w:r>
            <w:r>
              <w:rPr>
                <w:rFonts w:hint="eastAsia"/>
                <w:color w:val="FF0000"/>
                <w:sz w:val="24"/>
                <w:lang w:eastAsia="zh-CN"/>
              </w:rPr>
              <w:t>淮北市</w:t>
            </w:r>
            <w:r>
              <w:rPr>
                <w:rFonts w:hint="eastAsia"/>
                <w:color w:val="FF0000"/>
                <w:sz w:val="24"/>
              </w:rPr>
              <w:t>分行、</w:t>
            </w:r>
            <w:r>
              <w:rPr>
                <w:rFonts w:hint="eastAsia"/>
                <w:color w:val="FF0000"/>
                <w:sz w:val="24"/>
                <w:lang w:eastAsia="zh-CN"/>
              </w:rPr>
              <w:t>市</w:t>
            </w:r>
            <w:r>
              <w:rPr>
                <w:rFonts w:hint="eastAsia"/>
                <w:color w:val="FF0000"/>
                <w:sz w:val="24"/>
              </w:rPr>
              <w:t>金融监督管理局、</w:t>
            </w:r>
            <w:r>
              <w:rPr>
                <w:rFonts w:hint="eastAsia"/>
                <w:color w:val="FF0000"/>
                <w:sz w:val="24"/>
                <w:lang w:eastAsia="zh-CN"/>
              </w:rPr>
              <w:t>市</w:t>
            </w:r>
            <w:r>
              <w:rPr>
                <w:rFonts w:hint="eastAsia"/>
                <w:color w:val="FF0000"/>
                <w:sz w:val="24"/>
              </w:rPr>
              <w:t>证监局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（二十九）加强组织领导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51"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92</w:t>
            </w:r>
          </w:p>
        </w:tc>
        <w:tc>
          <w:tcPr>
            <w:tcW w:w="2590" w:type="dxa"/>
            <w:noWrap/>
            <w:vAlign w:val="center"/>
          </w:tcPr>
          <w:p>
            <w:pPr>
              <w:adjustRightInd w:val="0"/>
              <w:snapToGrid w:val="0"/>
              <w:spacing w:line="400" w:lineRule="exact"/>
              <w:rPr>
                <w:rFonts w:hint="eastAsia"/>
                <w:sz w:val="24"/>
              </w:rPr>
            </w:pPr>
            <w:r>
              <w:rPr>
                <w:rFonts w:hint="eastAsia"/>
                <w:sz w:val="24"/>
              </w:rPr>
              <w:t>落实空气质量改善主体责任。</w:t>
            </w:r>
          </w:p>
        </w:tc>
        <w:tc>
          <w:tcPr>
            <w:tcW w:w="5065" w:type="dxa"/>
            <w:noWrap/>
            <w:vAlign w:val="center"/>
          </w:tcPr>
          <w:p>
            <w:pPr>
              <w:adjustRightInd w:val="0"/>
              <w:snapToGrid w:val="0"/>
              <w:spacing w:line="400" w:lineRule="exact"/>
              <w:rPr>
                <w:rFonts w:hint="eastAsia"/>
                <w:sz w:val="24"/>
              </w:rPr>
            </w:pPr>
            <w:r>
              <w:rPr>
                <w:rFonts w:hint="eastAsia"/>
                <w:sz w:val="24"/>
              </w:rPr>
              <w:t>坚持和加强党对大气污染防治工作的全面领导，各</w:t>
            </w:r>
            <w:r>
              <w:rPr>
                <w:rFonts w:hint="eastAsia"/>
                <w:sz w:val="24"/>
                <w:lang w:eastAsia="zh-CN"/>
              </w:rPr>
              <w:t>级</w:t>
            </w:r>
            <w:r>
              <w:rPr>
                <w:rFonts w:hint="eastAsia"/>
                <w:sz w:val="24"/>
              </w:rPr>
              <w:t>政府要依法落实对大气环境质量的主体责任，细化落实举措，确保各项任务措施落到实处，完成省下达的空气质量改善目标任务。</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各县区人民政府</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43"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93</w:t>
            </w:r>
          </w:p>
        </w:tc>
        <w:tc>
          <w:tcPr>
            <w:tcW w:w="2590" w:type="dxa"/>
            <w:vMerge w:val="restart"/>
            <w:noWrap/>
            <w:vAlign w:val="center"/>
          </w:tcPr>
          <w:p>
            <w:pPr>
              <w:adjustRightInd w:val="0"/>
              <w:snapToGrid w:val="0"/>
              <w:spacing w:line="400" w:lineRule="exact"/>
              <w:rPr>
                <w:rFonts w:hint="eastAsia"/>
                <w:sz w:val="24"/>
              </w:rPr>
            </w:pPr>
            <w:r>
              <w:rPr>
                <w:rFonts w:hint="eastAsia"/>
                <w:sz w:val="24"/>
              </w:rPr>
              <w:t>落实行业主管职责，加强部门协同配合。</w:t>
            </w:r>
          </w:p>
        </w:tc>
        <w:tc>
          <w:tcPr>
            <w:tcW w:w="5065" w:type="dxa"/>
            <w:noWrap/>
            <w:vAlign w:val="center"/>
          </w:tcPr>
          <w:p>
            <w:pPr>
              <w:adjustRightInd w:val="0"/>
              <w:snapToGrid w:val="0"/>
              <w:spacing w:line="400" w:lineRule="exact"/>
              <w:rPr>
                <w:rFonts w:hint="eastAsia"/>
                <w:sz w:val="24"/>
              </w:rPr>
            </w:pPr>
            <w:r>
              <w:rPr>
                <w:rFonts w:hint="eastAsia"/>
                <w:sz w:val="24"/>
              </w:rPr>
              <w:t>各有关部门要按照“管发展的、管生产的、管行业的部门必须按‘一岗双责’要求抓好工作”的总体要求，协同配合落实任务分工，出台政策时统筹考虑空气质量持续改善需求。</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sz w:val="24"/>
              </w:rPr>
            </w:pPr>
            <w:r>
              <w:rPr>
                <w:rFonts w:hint="eastAsia"/>
                <w:sz w:val="24"/>
              </w:rPr>
              <w:t>各有关部门</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9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lang w:eastAsia="zh-CN"/>
              </w:rPr>
              <w:t>市生态环境局</w:t>
            </w:r>
            <w:r>
              <w:rPr>
                <w:rFonts w:hint="eastAsia"/>
                <w:sz w:val="24"/>
              </w:rPr>
              <w:t>要加强统筹协调，做好调度评估。</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（三十）严格考核监督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73"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94</w:t>
            </w:r>
          </w:p>
        </w:tc>
        <w:tc>
          <w:tcPr>
            <w:tcW w:w="2590" w:type="dxa"/>
            <w:noWrap/>
            <w:vAlign w:val="center"/>
          </w:tcPr>
          <w:p>
            <w:pPr>
              <w:adjustRightInd w:val="0"/>
              <w:snapToGrid w:val="0"/>
              <w:spacing w:line="400" w:lineRule="exact"/>
              <w:rPr>
                <w:rFonts w:hint="eastAsia"/>
                <w:sz w:val="24"/>
              </w:rPr>
            </w:pPr>
            <w:r>
              <w:rPr>
                <w:rFonts w:hint="eastAsia"/>
                <w:sz w:val="24"/>
              </w:rPr>
              <w:t>纳入污染防治攻坚战成效考核的范围。</w:t>
            </w:r>
          </w:p>
        </w:tc>
        <w:tc>
          <w:tcPr>
            <w:tcW w:w="5065" w:type="dxa"/>
            <w:noWrap/>
            <w:vAlign w:val="center"/>
          </w:tcPr>
          <w:p>
            <w:pPr>
              <w:adjustRightInd w:val="0"/>
              <w:snapToGrid w:val="0"/>
              <w:spacing w:line="400" w:lineRule="exact"/>
              <w:rPr>
                <w:rFonts w:hint="eastAsia"/>
                <w:sz w:val="24"/>
              </w:rPr>
            </w:pPr>
            <w:r>
              <w:rPr>
                <w:rFonts w:hint="eastAsia"/>
                <w:sz w:val="24"/>
              </w:rPr>
              <w:t>将空气质量改善目标完成情况作为深入打好污染防治攻坚战成效考核的重要内容，纳入设区市党委、政府污染防治攻坚战成效考核等相关考核。</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7"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95</w:t>
            </w:r>
          </w:p>
        </w:tc>
        <w:tc>
          <w:tcPr>
            <w:tcW w:w="2590" w:type="dxa"/>
            <w:noWrap/>
            <w:vAlign w:val="center"/>
          </w:tcPr>
          <w:p>
            <w:pPr>
              <w:adjustRightInd w:val="0"/>
              <w:snapToGrid w:val="0"/>
              <w:spacing w:line="400" w:lineRule="exact"/>
              <w:rPr>
                <w:rFonts w:hint="eastAsia"/>
                <w:sz w:val="24"/>
              </w:rPr>
            </w:pPr>
            <w:r>
              <w:rPr>
                <w:rFonts w:hint="eastAsia"/>
                <w:sz w:val="24"/>
              </w:rPr>
              <w:t>坚持目标管理。</w:t>
            </w:r>
          </w:p>
        </w:tc>
        <w:tc>
          <w:tcPr>
            <w:tcW w:w="5065" w:type="dxa"/>
            <w:noWrap/>
            <w:vAlign w:val="center"/>
          </w:tcPr>
          <w:p>
            <w:pPr>
              <w:adjustRightInd w:val="0"/>
              <w:snapToGrid w:val="0"/>
              <w:spacing w:line="400" w:lineRule="exact"/>
              <w:rPr>
                <w:rFonts w:hint="eastAsia"/>
                <w:color w:val="FF0000"/>
                <w:sz w:val="24"/>
              </w:rPr>
            </w:pPr>
            <w:r>
              <w:rPr>
                <w:rFonts w:hint="eastAsia"/>
                <w:color w:val="FF0000"/>
                <w:sz w:val="24"/>
              </w:rPr>
              <w:t>对超额完成目标的</w:t>
            </w:r>
            <w:r>
              <w:rPr>
                <w:rFonts w:hint="eastAsia"/>
                <w:color w:val="FF0000"/>
                <w:sz w:val="24"/>
                <w:lang w:eastAsia="zh-CN"/>
              </w:rPr>
              <w:t>县区</w:t>
            </w:r>
            <w:r>
              <w:rPr>
                <w:rFonts w:hint="eastAsia"/>
                <w:color w:val="FF0000"/>
                <w:sz w:val="24"/>
              </w:rPr>
              <w:t>，按照有关规定给予表扬激励；对未完成目标的</w:t>
            </w:r>
            <w:r>
              <w:rPr>
                <w:rFonts w:hint="eastAsia"/>
                <w:color w:val="FF0000"/>
                <w:sz w:val="24"/>
                <w:lang w:eastAsia="zh-CN"/>
              </w:rPr>
              <w:t>县区</w:t>
            </w:r>
            <w:r>
              <w:rPr>
                <w:rFonts w:hint="eastAsia"/>
                <w:color w:val="FF0000"/>
                <w:sz w:val="24"/>
              </w:rPr>
              <w:t>，从资金分配、项目审批、荣誉表彰、责任追究等方面实施惩戒。</w:t>
            </w:r>
          </w:p>
        </w:tc>
        <w:tc>
          <w:tcPr>
            <w:tcW w:w="1169" w:type="dxa"/>
            <w:noWrap/>
            <w:vAlign w:val="center"/>
          </w:tcPr>
          <w:p>
            <w:pPr>
              <w:adjustRightInd w:val="0"/>
              <w:snapToGrid w:val="0"/>
              <w:spacing w:line="400" w:lineRule="exact"/>
              <w:jc w:val="center"/>
              <w:rPr>
                <w:rFonts w:hint="eastAsia"/>
                <w:color w:val="FF0000"/>
                <w:sz w:val="24"/>
              </w:rPr>
            </w:pPr>
            <w:r>
              <w:rPr>
                <w:rFonts w:hint="eastAsia"/>
                <w:color w:val="FF0000"/>
                <w:sz w:val="24"/>
              </w:rPr>
              <w:t>持续推进</w:t>
            </w:r>
          </w:p>
        </w:tc>
        <w:tc>
          <w:tcPr>
            <w:tcW w:w="2264" w:type="dxa"/>
            <w:noWrap/>
            <w:vAlign w:val="center"/>
          </w:tcPr>
          <w:p>
            <w:pPr>
              <w:adjustRightInd w:val="0"/>
              <w:snapToGrid w:val="0"/>
              <w:spacing w:line="400" w:lineRule="exact"/>
              <w:rPr>
                <w:rFonts w:hint="eastAsia" w:eastAsia="宋体"/>
                <w:color w:val="FF0000"/>
                <w:sz w:val="24"/>
                <w:lang w:eastAsia="zh-CN"/>
              </w:rPr>
            </w:pPr>
            <w:r>
              <w:rPr>
                <w:rFonts w:hint="eastAsia"/>
                <w:color w:val="FF0000"/>
                <w:sz w:val="24"/>
                <w:lang w:eastAsia="zh-CN"/>
              </w:rPr>
              <w:t>市生态环境局</w:t>
            </w:r>
          </w:p>
        </w:tc>
        <w:tc>
          <w:tcPr>
            <w:tcW w:w="2276" w:type="dxa"/>
            <w:gridSpan w:val="2"/>
            <w:noWrap/>
            <w:vAlign w:val="center"/>
          </w:tcPr>
          <w:p>
            <w:pPr>
              <w:adjustRightInd w:val="0"/>
              <w:snapToGrid w:val="0"/>
              <w:spacing w:line="400" w:lineRule="exact"/>
              <w:rPr>
                <w:rFonts w:hint="eastAsia"/>
                <w:color w:val="FF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6"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96</w:t>
            </w:r>
          </w:p>
        </w:tc>
        <w:tc>
          <w:tcPr>
            <w:tcW w:w="2590" w:type="dxa"/>
            <w:noWrap/>
            <w:vAlign w:val="center"/>
          </w:tcPr>
          <w:p>
            <w:pPr>
              <w:adjustRightInd w:val="0"/>
              <w:snapToGrid w:val="0"/>
              <w:spacing w:line="400" w:lineRule="exact"/>
              <w:rPr>
                <w:rFonts w:hint="eastAsia"/>
                <w:sz w:val="24"/>
              </w:rPr>
            </w:pPr>
            <w:r>
              <w:rPr>
                <w:rFonts w:hint="eastAsia"/>
                <w:sz w:val="24"/>
              </w:rPr>
              <w:t>开展专项督察。</w:t>
            </w:r>
          </w:p>
        </w:tc>
        <w:tc>
          <w:tcPr>
            <w:tcW w:w="5065" w:type="dxa"/>
            <w:noWrap/>
            <w:vAlign w:val="center"/>
          </w:tcPr>
          <w:p>
            <w:pPr>
              <w:adjustRightInd w:val="0"/>
              <w:snapToGrid w:val="0"/>
              <w:spacing w:line="400" w:lineRule="exact"/>
              <w:rPr>
                <w:rFonts w:hint="eastAsia"/>
                <w:sz w:val="24"/>
              </w:rPr>
            </w:pPr>
            <w:r>
              <w:rPr>
                <w:rFonts w:hint="eastAsia"/>
                <w:sz w:val="24"/>
              </w:rPr>
              <w:t>对问题突出的市，视情组织开展专项督察。将空气质量改善情况纳入省生态环境保护督察内容。</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95"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97</w:t>
            </w:r>
          </w:p>
        </w:tc>
        <w:tc>
          <w:tcPr>
            <w:tcW w:w="2590" w:type="dxa"/>
            <w:noWrap/>
            <w:vAlign w:val="center"/>
          </w:tcPr>
          <w:p>
            <w:pPr>
              <w:adjustRightInd w:val="0"/>
              <w:snapToGrid w:val="0"/>
              <w:spacing w:line="400" w:lineRule="exact"/>
              <w:rPr>
                <w:rFonts w:hint="eastAsia"/>
                <w:sz w:val="24"/>
              </w:rPr>
            </w:pPr>
            <w:r>
              <w:rPr>
                <w:rFonts w:hint="eastAsia"/>
                <w:sz w:val="24"/>
              </w:rPr>
              <w:t>组织监督帮扶。</w:t>
            </w:r>
          </w:p>
        </w:tc>
        <w:tc>
          <w:tcPr>
            <w:tcW w:w="5065" w:type="dxa"/>
            <w:noWrap/>
            <w:vAlign w:val="center"/>
          </w:tcPr>
          <w:p>
            <w:pPr>
              <w:adjustRightInd w:val="0"/>
              <w:snapToGrid w:val="0"/>
              <w:spacing w:line="400" w:lineRule="exact"/>
              <w:rPr>
                <w:rFonts w:hint="eastAsia"/>
                <w:sz w:val="24"/>
              </w:rPr>
            </w:pPr>
            <w:r>
              <w:rPr>
                <w:rFonts w:hint="eastAsia"/>
                <w:sz w:val="24"/>
              </w:rPr>
              <w:t>聚焦蓝天保卫战等重点任务，组织空气质量改善监督帮扶工作。</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（三十一）强化信息公开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84" w:hRule="atLeast"/>
          <w:jc w:val="center"/>
        </w:trPr>
        <w:tc>
          <w:tcPr>
            <w:tcW w:w="694" w:type="dxa"/>
            <w:noWrap/>
            <w:vAlign w:val="center"/>
          </w:tcPr>
          <w:p>
            <w:pPr>
              <w:adjustRightInd w:val="0"/>
              <w:snapToGrid w:val="0"/>
              <w:spacing w:line="400" w:lineRule="exact"/>
              <w:jc w:val="center"/>
              <w:rPr>
                <w:rFonts w:hint="eastAsia" w:eastAsia="方正楷体_GBK"/>
                <w:sz w:val="24"/>
              </w:rPr>
            </w:pPr>
            <w:r>
              <w:rPr>
                <w:rFonts w:hint="eastAsia" w:eastAsia="方正楷体_GBK"/>
                <w:sz w:val="24"/>
              </w:rPr>
              <w:t>98</w:t>
            </w:r>
          </w:p>
        </w:tc>
        <w:tc>
          <w:tcPr>
            <w:tcW w:w="2590" w:type="dxa"/>
            <w:noWrap/>
            <w:vAlign w:val="center"/>
          </w:tcPr>
          <w:p>
            <w:pPr>
              <w:adjustRightInd w:val="0"/>
              <w:snapToGrid w:val="0"/>
              <w:spacing w:line="400" w:lineRule="exact"/>
              <w:rPr>
                <w:rFonts w:hint="eastAsia"/>
                <w:sz w:val="24"/>
              </w:rPr>
            </w:pPr>
            <w:r>
              <w:rPr>
                <w:rFonts w:hint="eastAsia"/>
                <w:sz w:val="24"/>
              </w:rPr>
              <w:t>加强污染防治主体信用监管。</w:t>
            </w:r>
          </w:p>
        </w:tc>
        <w:tc>
          <w:tcPr>
            <w:tcW w:w="5065" w:type="dxa"/>
            <w:noWrap/>
            <w:vAlign w:val="center"/>
          </w:tcPr>
          <w:p>
            <w:pPr>
              <w:adjustRightInd w:val="0"/>
              <w:snapToGrid w:val="0"/>
              <w:spacing w:line="400" w:lineRule="exact"/>
              <w:rPr>
                <w:rFonts w:hint="eastAsia"/>
                <w:sz w:val="24"/>
              </w:rPr>
            </w:pPr>
            <w:r>
              <w:rPr>
                <w:rFonts w:hint="eastAsia"/>
                <w:sz w:val="24"/>
              </w:rPr>
              <w:t>将排污单位和第三方治理、运维、检测机构弄虚作假行为纳入信用记录，推送至全国信用信息共享平台（安徽），定期依法向社会公布。</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市市场监管局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6"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99</w:t>
            </w:r>
          </w:p>
        </w:tc>
        <w:tc>
          <w:tcPr>
            <w:tcW w:w="2590" w:type="dxa"/>
            <w:vMerge w:val="restart"/>
            <w:noWrap/>
            <w:vAlign w:val="center"/>
          </w:tcPr>
          <w:p>
            <w:pPr>
              <w:adjustRightInd w:val="0"/>
              <w:snapToGrid w:val="0"/>
              <w:spacing w:line="400" w:lineRule="exact"/>
              <w:rPr>
                <w:rFonts w:hint="eastAsia"/>
                <w:sz w:val="24"/>
              </w:rPr>
            </w:pPr>
            <w:r>
              <w:rPr>
                <w:rFonts w:hint="eastAsia"/>
                <w:sz w:val="24"/>
              </w:rPr>
              <w:t>加强空气质量信息公开与共享。</w:t>
            </w:r>
          </w:p>
        </w:tc>
        <w:tc>
          <w:tcPr>
            <w:tcW w:w="5065" w:type="dxa"/>
            <w:noWrap/>
            <w:vAlign w:val="center"/>
          </w:tcPr>
          <w:p>
            <w:pPr>
              <w:adjustRightInd w:val="0"/>
              <w:snapToGrid w:val="0"/>
              <w:spacing w:line="400" w:lineRule="exact"/>
              <w:rPr>
                <w:rFonts w:hint="eastAsia"/>
                <w:sz w:val="24"/>
              </w:rPr>
            </w:pPr>
            <w:r>
              <w:rPr>
                <w:rFonts w:hint="eastAsia"/>
                <w:sz w:val="24"/>
              </w:rPr>
              <w:t>重点排污单位及时公布自行监测和污染排放数据、污染治理措施、环保违法处罚及整改等信息。</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4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加强与沪苏浙联动协调，推动老旧高污染车辆、机动车排放检验等信息的共享。机动车和非道路移动机械生产、进口企业依法公开排放检验、污染控制技术等环保信息。</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r>
              <w:rPr>
                <w:rFonts w:hint="eastAsia"/>
                <w:sz w:val="24"/>
                <w:lang w:eastAsia="zh-CN"/>
              </w:rPr>
              <w:t>市公安局</w:t>
            </w:r>
            <w:r>
              <w:rPr>
                <w:rFonts w:hint="eastAsia"/>
                <w:sz w:val="24"/>
              </w:rPr>
              <w:t>、</w:t>
            </w:r>
            <w:r>
              <w:rPr>
                <w:rFonts w:hint="eastAsia"/>
                <w:sz w:val="24"/>
                <w:lang w:eastAsia="zh-CN"/>
              </w:rPr>
              <w:t>淮北</w:t>
            </w:r>
            <w:r>
              <w:rPr>
                <w:rFonts w:hint="eastAsia"/>
                <w:sz w:val="24"/>
              </w:rPr>
              <w:t>海关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4058" w:type="dxa"/>
            <w:gridSpan w:val="7"/>
            <w:noWrap/>
            <w:vAlign w:val="center"/>
          </w:tcPr>
          <w:p>
            <w:pPr>
              <w:adjustRightInd w:val="0"/>
              <w:snapToGrid w:val="0"/>
              <w:spacing w:line="400" w:lineRule="exact"/>
              <w:rPr>
                <w:rFonts w:hint="eastAsia" w:eastAsia="方正楷体_GBK"/>
                <w:sz w:val="24"/>
              </w:rPr>
            </w:pPr>
            <w:r>
              <w:rPr>
                <w:rFonts w:hint="eastAsia" w:eastAsia="方正楷体_GBK"/>
                <w:sz w:val="24"/>
              </w:rPr>
              <w:t>（三十二）注重宣传引导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51"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100</w:t>
            </w:r>
          </w:p>
        </w:tc>
        <w:tc>
          <w:tcPr>
            <w:tcW w:w="2590" w:type="dxa"/>
            <w:vMerge w:val="restart"/>
            <w:noWrap/>
            <w:vAlign w:val="center"/>
          </w:tcPr>
          <w:p>
            <w:pPr>
              <w:adjustRightInd w:val="0"/>
              <w:snapToGrid w:val="0"/>
              <w:spacing w:line="400" w:lineRule="exact"/>
              <w:rPr>
                <w:rFonts w:hint="eastAsia"/>
                <w:sz w:val="24"/>
              </w:rPr>
            </w:pPr>
            <w:r>
              <w:rPr>
                <w:rFonts w:hint="eastAsia"/>
                <w:sz w:val="24"/>
              </w:rPr>
              <w:t>提升公民环境保护意识与素养。</w:t>
            </w:r>
          </w:p>
        </w:tc>
        <w:tc>
          <w:tcPr>
            <w:tcW w:w="5065" w:type="dxa"/>
            <w:noWrap/>
            <w:vAlign w:val="center"/>
          </w:tcPr>
          <w:p>
            <w:pPr>
              <w:adjustRightInd w:val="0"/>
              <w:snapToGrid w:val="0"/>
              <w:spacing w:line="400" w:lineRule="exact"/>
              <w:rPr>
                <w:rFonts w:hint="eastAsia"/>
                <w:sz w:val="24"/>
              </w:rPr>
            </w:pPr>
            <w:r>
              <w:rPr>
                <w:rFonts w:hint="eastAsia"/>
                <w:sz w:val="24"/>
              </w:rPr>
              <w:t>大力宣传《公民生态环境行为规范十条》，利用六五环境日、国际臭氧层保护日、全国低碳日、全国节能宣传周、安徽环保宣传周等广泛开展宣传教育活动，普及大气环境与健康基本理念和知识，提升公民大气环境保护意识与素养。</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97"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持续开展绿色生活创建行动，推动碳普惠制度体系建设，动员社会各界广泛参与大气环境保护。</w:t>
            </w:r>
          </w:p>
        </w:tc>
        <w:tc>
          <w:tcPr>
            <w:tcW w:w="1169" w:type="dxa"/>
            <w:noWrap/>
            <w:vAlign w:val="center"/>
          </w:tcPr>
          <w:p>
            <w:pPr>
              <w:adjustRightInd w:val="0"/>
              <w:snapToGrid w:val="0"/>
              <w:spacing w:line="400" w:lineRule="exact"/>
              <w:jc w:val="center"/>
              <w:rPr>
                <w:rFonts w:hint="eastAsia"/>
                <w:sz w:val="24"/>
              </w:rPr>
            </w:pPr>
            <w:r>
              <w:rPr>
                <w:rFonts w:hint="eastAsia"/>
                <w:sz w:val="24"/>
              </w:rPr>
              <w:t>2024年</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eastAsia="宋体"/>
                <w:sz w:val="24"/>
                <w:lang w:eastAsia="zh-CN"/>
              </w:rPr>
            </w:pPr>
            <w:r>
              <w:rPr>
                <w:rFonts w:hint="eastAsia"/>
                <w:sz w:val="24"/>
                <w:lang w:eastAsia="zh-CN"/>
              </w:rPr>
              <w:t>市发展改革委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79"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完善公众监督和有奖举报机制，鼓励公众积极提供环境违法行为线索。</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市生态环境局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84" w:hRule="atLeast"/>
          <w:jc w:val="center"/>
        </w:trPr>
        <w:tc>
          <w:tcPr>
            <w:tcW w:w="694" w:type="dxa"/>
            <w:vMerge w:val="restart"/>
            <w:noWrap/>
            <w:vAlign w:val="center"/>
          </w:tcPr>
          <w:p>
            <w:pPr>
              <w:adjustRightInd w:val="0"/>
              <w:snapToGrid w:val="0"/>
              <w:spacing w:line="400" w:lineRule="exact"/>
              <w:jc w:val="center"/>
              <w:rPr>
                <w:rFonts w:hint="eastAsia" w:eastAsia="方正楷体_GBK"/>
                <w:sz w:val="24"/>
              </w:rPr>
            </w:pPr>
            <w:r>
              <w:rPr>
                <w:rFonts w:hint="eastAsia" w:eastAsia="方正楷体_GBK"/>
                <w:sz w:val="24"/>
              </w:rPr>
              <w:t>101</w:t>
            </w:r>
          </w:p>
        </w:tc>
        <w:tc>
          <w:tcPr>
            <w:tcW w:w="2590" w:type="dxa"/>
            <w:vMerge w:val="restart"/>
            <w:noWrap/>
            <w:vAlign w:val="center"/>
          </w:tcPr>
          <w:p>
            <w:pPr>
              <w:adjustRightInd w:val="0"/>
              <w:snapToGrid w:val="0"/>
              <w:spacing w:line="400" w:lineRule="exact"/>
              <w:rPr>
                <w:rFonts w:hint="eastAsia"/>
                <w:sz w:val="24"/>
              </w:rPr>
            </w:pPr>
            <w:r>
              <w:rPr>
                <w:rFonts w:hint="eastAsia"/>
                <w:sz w:val="24"/>
              </w:rPr>
              <w:t>推动绿色产品采购和绿色生产。</w:t>
            </w:r>
          </w:p>
        </w:tc>
        <w:tc>
          <w:tcPr>
            <w:tcW w:w="5065" w:type="dxa"/>
            <w:noWrap/>
            <w:vAlign w:val="center"/>
          </w:tcPr>
          <w:p>
            <w:pPr>
              <w:adjustRightInd w:val="0"/>
              <w:snapToGrid w:val="0"/>
              <w:spacing w:line="400" w:lineRule="exact"/>
              <w:rPr>
                <w:rFonts w:hint="eastAsia"/>
                <w:sz w:val="24"/>
              </w:rPr>
            </w:pPr>
            <w:r>
              <w:rPr>
                <w:rFonts w:hint="eastAsia"/>
                <w:sz w:val="24"/>
              </w:rPr>
              <w:t>贯彻落实政府采购政策，党政机关带头加大绿色低碳产品采购力度，积极推广应用环境标志产品和绿色产品。</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市财政局</w:t>
            </w:r>
          </w:p>
        </w:tc>
        <w:tc>
          <w:tcPr>
            <w:tcW w:w="2276" w:type="dxa"/>
            <w:gridSpan w:val="2"/>
            <w:noWrap/>
            <w:vAlign w:val="center"/>
          </w:tcPr>
          <w:p>
            <w:pPr>
              <w:adjustRightInd w:val="0"/>
              <w:snapToGrid w:val="0"/>
              <w:spacing w:line="400" w:lineRule="exact"/>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90" w:hRule="atLeast"/>
          <w:jc w:val="center"/>
        </w:trPr>
        <w:tc>
          <w:tcPr>
            <w:tcW w:w="694" w:type="dxa"/>
            <w:vMerge w:val="continue"/>
            <w:noWrap/>
            <w:vAlign w:val="center"/>
          </w:tcPr>
          <w:p>
            <w:pPr>
              <w:adjustRightInd w:val="0"/>
              <w:snapToGrid w:val="0"/>
              <w:spacing w:line="400" w:lineRule="exact"/>
              <w:jc w:val="center"/>
              <w:rPr>
                <w:rFonts w:hint="eastAsia" w:eastAsia="方正楷体_GBK"/>
                <w:sz w:val="24"/>
              </w:rPr>
            </w:pPr>
          </w:p>
        </w:tc>
        <w:tc>
          <w:tcPr>
            <w:tcW w:w="2590" w:type="dxa"/>
            <w:vMerge w:val="continue"/>
            <w:noWrap/>
            <w:vAlign w:val="center"/>
          </w:tcPr>
          <w:p>
            <w:pPr>
              <w:adjustRightInd w:val="0"/>
              <w:snapToGrid w:val="0"/>
              <w:spacing w:line="400" w:lineRule="exact"/>
              <w:rPr>
                <w:rFonts w:hint="eastAsia"/>
                <w:sz w:val="24"/>
              </w:rPr>
            </w:pPr>
          </w:p>
        </w:tc>
        <w:tc>
          <w:tcPr>
            <w:tcW w:w="5065" w:type="dxa"/>
            <w:noWrap/>
            <w:vAlign w:val="center"/>
          </w:tcPr>
          <w:p>
            <w:pPr>
              <w:adjustRightInd w:val="0"/>
              <w:snapToGrid w:val="0"/>
              <w:spacing w:line="400" w:lineRule="exact"/>
              <w:rPr>
                <w:rFonts w:hint="eastAsia"/>
                <w:sz w:val="24"/>
              </w:rPr>
            </w:pPr>
            <w:r>
              <w:rPr>
                <w:rFonts w:hint="eastAsia"/>
                <w:sz w:val="24"/>
              </w:rPr>
              <w:t>国有企业带头实施绿色生产，深入推进治污减排。</w:t>
            </w:r>
          </w:p>
        </w:tc>
        <w:tc>
          <w:tcPr>
            <w:tcW w:w="1169" w:type="dxa"/>
            <w:noWrap/>
            <w:vAlign w:val="center"/>
          </w:tcPr>
          <w:p>
            <w:pPr>
              <w:adjustRightInd w:val="0"/>
              <w:snapToGrid w:val="0"/>
              <w:spacing w:line="400" w:lineRule="exact"/>
              <w:jc w:val="center"/>
              <w:rPr>
                <w:rFonts w:hint="eastAsia"/>
                <w:sz w:val="24"/>
              </w:rPr>
            </w:pPr>
            <w:r>
              <w:rPr>
                <w:rFonts w:hint="eastAsia"/>
                <w:sz w:val="24"/>
              </w:rPr>
              <w:t>持续推进</w:t>
            </w:r>
          </w:p>
        </w:tc>
        <w:tc>
          <w:tcPr>
            <w:tcW w:w="2264" w:type="dxa"/>
            <w:noWrap/>
            <w:vAlign w:val="center"/>
          </w:tcPr>
          <w:p>
            <w:pPr>
              <w:adjustRightInd w:val="0"/>
              <w:snapToGrid w:val="0"/>
              <w:spacing w:line="400" w:lineRule="exact"/>
              <w:rPr>
                <w:rFonts w:hint="eastAsia" w:eastAsia="宋体"/>
                <w:sz w:val="24"/>
                <w:lang w:eastAsia="zh-CN"/>
              </w:rPr>
            </w:pPr>
            <w:r>
              <w:rPr>
                <w:rFonts w:hint="eastAsia"/>
                <w:sz w:val="24"/>
                <w:lang w:eastAsia="zh-CN"/>
              </w:rPr>
              <w:t>市财政局</w:t>
            </w:r>
          </w:p>
        </w:tc>
        <w:tc>
          <w:tcPr>
            <w:tcW w:w="2276" w:type="dxa"/>
            <w:gridSpan w:val="2"/>
            <w:noWrap/>
            <w:vAlign w:val="center"/>
          </w:tcPr>
          <w:p>
            <w:pPr>
              <w:adjustRightInd w:val="0"/>
              <w:snapToGrid w:val="0"/>
              <w:spacing w:line="400" w:lineRule="exact"/>
              <w:rPr>
                <w:rFonts w:hint="eastAsia"/>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仿宋_GB2312" w:cs="仿宋_GB2312"/>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4D4AEB42-921B-4120-9ABE-8822E73F103F}"/>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embedRegular r:id="rId2" w:fontKey="{0D291E00-38AD-49D9-AB88-02D42DF080E4}"/>
  </w:font>
  <w:font w:name="Lucida Sans">
    <w:panose1 w:val="020B0602030504020204"/>
    <w:charset w:val="00"/>
    <w:family w:val="auto"/>
    <w:pitch w:val="default"/>
    <w:sig w:usb0="00000000" w:usb1="00000000" w:usb2="00000000" w:usb3="00000000" w:csb0="00000000" w:csb1="00000000"/>
  </w:font>
  <w:font w:name="方正仿宋_GBK">
    <w:altName w:val="宋体"/>
    <w:panose1 w:val="03000509000000000000"/>
    <w:charset w:val="86"/>
    <w:family w:val="auto"/>
    <w:pitch w:val="default"/>
    <w:sig w:usb0="00000000" w:usb1="00000000" w:usb2="00000000" w:usb3="00000000" w:csb0="00040000" w:csb1="00000000"/>
    <w:embedRegular r:id="rId3" w:fontKey="{4BAD8ADF-A4E4-4665-BAFE-9E44ED5C8C94}"/>
  </w:font>
  <w:font w:name="方正小标宋_GBK">
    <w:panose1 w:val="03000509000000000000"/>
    <w:charset w:val="86"/>
    <w:family w:val="auto"/>
    <w:pitch w:val="default"/>
    <w:sig w:usb0="00000001" w:usb1="080E0000" w:usb2="00000000" w:usb3="00000000" w:csb0="00040000" w:csb1="00000000"/>
    <w:embedRegular r:id="rId4" w:fontKey="{8A3DE131-241E-4421-AF30-3379C176F764}"/>
  </w:font>
  <w:font w:name="仿宋_GB2312">
    <w:panose1 w:val="02010609030101010101"/>
    <w:charset w:val="86"/>
    <w:family w:val="auto"/>
    <w:pitch w:val="default"/>
    <w:sig w:usb0="00000001" w:usb1="080E0000" w:usb2="00000000" w:usb3="00000000" w:csb0="00040000" w:csb1="00000000"/>
    <w:embedRegular r:id="rId5" w:fontKey="{B5294414-6D0C-452E-9F4C-AE092E74EE5F}"/>
  </w:font>
  <w:font w:name="楷体_GB2312">
    <w:panose1 w:val="02010609030101010101"/>
    <w:charset w:val="86"/>
    <w:family w:val="auto"/>
    <w:pitch w:val="default"/>
    <w:sig w:usb0="00000001" w:usb1="080E0000" w:usb2="00000000" w:usb3="00000000" w:csb0="00040000" w:csb1="00000000"/>
    <w:embedRegular r:id="rId6" w:fontKey="{37936BC0-0A04-4D19-92FD-82C93044643E}"/>
  </w:font>
  <w:font w:name="方正黑体_GBK">
    <w:altName w:val="方正小标宋简体"/>
    <w:panose1 w:val="03000509000000000000"/>
    <w:charset w:val="86"/>
    <w:family w:val="script"/>
    <w:pitch w:val="default"/>
    <w:sig w:usb0="00000000" w:usb1="00000000" w:usb2="00000010" w:usb3="00000000" w:csb0="00040000" w:csb1="00000000"/>
    <w:embedRegular r:id="rId7" w:fontKey="{46B04B81-E8BB-4B41-AB98-B7FDC6C887F4}"/>
  </w:font>
  <w:font w:name="方正楷体_GBK">
    <w:altName w:val="方正小标宋简体"/>
    <w:panose1 w:val="03000509000000000000"/>
    <w:charset w:val="86"/>
    <w:family w:val="script"/>
    <w:pitch w:val="default"/>
    <w:sig w:usb0="00000000" w:usb1="00000000" w:usb2="00000010" w:usb3="00000000" w:csb0="00040000" w:csb1="00000000"/>
    <w:embedRegular r:id="rId8" w:fontKey="{925B523E-4BD1-4838-85B0-97383678C06A}"/>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TQ3MWYxNGUzOTdjOTI0ZjZhNWEwNzQ4OTgyZmIifQ=="/>
  </w:docVars>
  <w:rsids>
    <w:rsidRoot w:val="00000000"/>
    <w:rsid w:val="0562450A"/>
    <w:rsid w:val="066115FA"/>
    <w:rsid w:val="08F85E6D"/>
    <w:rsid w:val="0B6F6047"/>
    <w:rsid w:val="105962D6"/>
    <w:rsid w:val="11FC5536"/>
    <w:rsid w:val="17972A2E"/>
    <w:rsid w:val="1B7255B2"/>
    <w:rsid w:val="1C2714D6"/>
    <w:rsid w:val="1C305743"/>
    <w:rsid w:val="237E6317"/>
    <w:rsid w:val="25963872"/>
    <w:rsid w:val="2CDB007E"/>
    <w:rsid w:val="2D9A3005"/>
    <w:rsid w:val="2E533B82"/>
    <w:rsid w:val="31E56138"/>
    <w:rsid w:val="33F73363"/>
    <w:rsid w:val="35C00E70"/>
    <w:rsid w:val="36B91BB1"/>
    <w:rsid w:val="384048E8"/>
    <w:rsid w:val="39E70C84"/>
    <w:rsid w:val="3B3C2E16"/>
    <w:rsid w:val="3E7A74DD"/>
    <w:rsid w:val="3EF374BA"/>
    <w:rsid w:val="3F80388E"/>
    <w:rsid w:val="434C5A49"/>
    <w:rsid w:val="446C0C7F"/>
    <w:rsid w:val="47947AFC"/>
    <w:rsid w:val="48201FD3"/>
    <w:rsid w:val="4B7736FE"/>
    <w:rsid w:val="4B9D24EA"/>
    <w:rsid w:val="4D477888"/>
    <w:rsid w:val="52E20340"/>
    <w:rsid w:val="55B0502F"/>
    <w:rsid w:val="57107F05"/>
    <w:rsid w:val="5725116A"/>
    <w:rsid w:val="585C195A"/>
    <w:rsid w:val="5B4E350A"/>
    <w:rsid w:val="5C263902"/>
    <w:rsid w:val="5C532949"/>
    <w:rsid w:val="608A2F81"/>
    <w:rsid w:val="64021CAD"/>
    <w:rsid w:val="68FA615D"/>
    <w:rsid w:val="6B0D4EF7"/>
    <w:rsid w:val="6C441F6B"/>
    <w:rsid w:val="6EDA3BD2"/>
    <w:rsid w:val="6F3E0A62"/>
    <w:rsid w:val="74BF3BA9"/>
    <w:rsid w:val="76ED2098"/>
    <w:rsid w:val="7AB03882"/>
    <w:rsid w:val="7C1F4981"/>
    <w:rsid w:val="7DDB6E42"/>
    <w:rsid w:val="7F62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line="500" w:lineRule="exact"/>
      <w:ind w:firstLine="560" w:firstLineChars="200"/>
      <w:jc w:val="left"/>
    </w:pPr>
    <w:rPr>
      <w:rFonts w:eastAsia="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paragraph" w:customStyle="1" w:styleId="10">
    <w:name w:val="Body Text Indent 21"/>
    <w:basedOn w:val="1"/>
    <w:qFormat/>
    <w:uiPriority w:val="0"/>
    <w:pPr>
      <w:spacing w:line="590" w:lineRule="exact"/>
      <w:ind w:firstLine="880" w:firstLineChars="200"/>
    </w:pPr>
    <w:rPr>
      <w:rFonts w:hint="eastAsia" w:ascii="Times New Roman" w:hAnsi="Times New Roman" w:eastAsia="方正仿宋_GBK"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10918</Words>
  <Characters>11358</Characters>
  <Lines>0</Lines>
  <Paragraphs>0</Paragraphs>
  <TotalTime>0</TotalTime>
  <ScaleCrop>false</ScaleCrop>
  <LinksUpToDate>false</LinksUpToDate>
  <CharactersWithSpaces>11402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2024-04-23T06:57:00Z</dcterms:created>
  <dc:creator>Administrator</dc:creator>
  <cp:lastModifiedBy>Administrator</cp:lastModifiedBy>
  <dcterms:modified xsi:type="dcterms:W3CDTF">2024-08-21T07:10:05Z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922F2A1A98444B05A8DA6F8C882BEE95_13</vt:lpwstr>
  </property>
</Properties>
</file>