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海南省推动工业领域设备更新实施方案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为贯彻落实党中央、国务院决策部署，按照国务院《推动大规模设备更新和消费品以旧换新行动方案》及工业和信息化部等七部门印发的《推动工业领域设备更新实施方案》有关工作部署，现就推动工业领域设备更新，制定如下实施方案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一、总体要求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（一）指导思想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以习近平新时代中国特色社会主义思想为指导，深入贯彻党的二十大精神，认真落实中央经济工作会议和中央财经委员会第四次会议部署，围绕推进新型工业化，以大规模设备更新为抓手，以节能降碳、安全生产、数字化转型、智能化升级为重要方向，推动工业企业加快技改提质增效，培育新质生产力，促进经济高质量发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（二）基本原则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——市场为主、政府引导。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发挥政府引导、政策激励作用，以企业为主体、市场需求为导向，分类施策推动工业领域设备更新。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——鼓励先进、淘汰落后。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加快淘汰落后产品设备，提升安全可靠水平，促进产业高端化、智能化、绿色化发展。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——节能降碳、绿色发展。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全面贯彻绿色低碳发展理念，着力提升工业资源能源利用效率和清洁生产水平，构建绿色工业体系。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——创新驱动、数字赋能。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支持工业企业加大科研投入，围绕研发设计、中试验证、检验检测等薄弱环节更新升级试验检测设备。坚持软硬件一体化更新，深化工业互联网创新应用，推动工业企业智改数转网联。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二、主要目标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2024年，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全面摸清工业领域老旧设备淘汰、先进设备升级、节能降碳改造、数字化转型、安全生产提升等方面需求，力争工业领域设备投资规模较2023年增长6%以上，打造6个以上工业互联网应用优秀案例。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到2027年，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工业领域设备投资规模较2023年增长25%以上；重点行业主要用能设备能效基本达到节能水平，环保绩效达到A级水平的产能比例大幅提升；重点园区规模以上工业企业数字化改造全覆盖，规模以上工业企业数字化研发设计工具普及率、关键工序数控化率分别超过90%、75%。石化、民爆等行业安全设备水平有序提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三、重点工作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（一）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实施先进设备更新行动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1.加快落后低效设备替代。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落实国家技术改造投资专项再贷款政策，指导符合条件的设备更新项目申请中央预算内资金支持。推进石化、水泥、建材、造纸、机械、电气、农副产品加工、食品、电力等传统产业实施老旧设备更新和生产线改造升级，加快淘汰超期服役的落后低效设备。支持海口、三亚、儋州等地级市申报财政部、工业和信息化部制造业新型技术改造城市试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2.加速高端先进设备迭代。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推动生物医药、新材料、新能源汽车等产业，对标行业先进生产水平，有序推动生产设备技术迭代更新。聚焦高端医疗器械、海上风电装备、油气勘探开采设备、游艇船舶等重点领域，加快推动典型应用场景创新应用，在关键技术装备领域突破一批标志性产品。以“三品”专项行动为抓手，引导企业利用新技术、新装备、新材料加快研发高端、智能、健康新产品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3.加强试验检测设备升级。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用好研发设计平台扶持资金等奖补政策，围绕生物医药、医疗器械、食品加工、全生物降解材料、新能源及智能网联汽车等重点领域打造一批有效支撑研发设计、检验检测等产业创新平台，支持建设GLP、GCP、CRO等现代研发服务平台以及专业性强、有品牌影响力的检验检测平台；鼓励和支持企业积极参与制造业创新中心、企业技术中心、产业创新中心、工业设计中心等平台载体培育建设和改造提升，引导企业积极开展科技创新和试验检测设备更新改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（二）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实施数字化转型行动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4.加快推进企业数字化转型。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支持企业加快应用5G、工业互联网、人工智能等新一代信息技术，推进工业企业研发、生产、管理、服务等环节数字化应用与改造，鼓励企业开展ERP智能化系统升级改造，打造一批工业互联网应用优秀案例。按计划完成中小企业数字化转型海口试点工作，支持儋州、三亚等地级市申报国家中小企业数字化转型城市试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5.加快建设智能工厂和数字化车间。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深化工业互联网创新应用，打造智能制造示范工厂和优秀场景，推动制造业智改数转网联，部署数控机床、工业机器人、智能检测装备、智能物流装备、智能控制装备等，推进制造单元、加工中心、产线等全业务流程数字化改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6.加强数字基础设施建设。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加快工业互联网、物联网、5G、千兆光网等新型网络基础设施规模化部署，鼓励工业企业内外网改造。鼓励大型集团企业、工业园区建立各具特色的工业互联网平台。推进中小企业“上云用数赋智”，降低企业信息化投入成本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（三）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实施设备绿色化改造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7.开展绿色制造体系建设。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推动重点行业企业，加快绿色低碳技术、工艺、装备应用，开发生产绿色工业产品，推动用能结构优化，创建绿色工厂。打造绿色工业园区示范。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8.推动重点用能设备升级。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对全省重点用能企业开展设备排查，鼓励企业开展用能设备升级改造。对照《重点用能产品设备能效先进水平、节能水平和准入水平（2024年版）》，以能效水平提升为重点，推动工业领域锅炉、电机、变压器、制冷供热空压机、换热器、泵等重点用能设备更新换代，推广应用能效二级及以上节能设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9.推动工业领域环保设备更新。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鼓励企业更新改造工业固废量产生偏高的工艺，更新换代一批再生资源综合利用设备设施。面向石化、建材、造纸、食品等已出台取（用）水定额国家标准的行业，推进工业节水和废水循环利用，改造工业冷却循环系统和废水处理回用等系统，更新一批冷却塔等设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（四）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实施本质安全水平提升行动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10.推动工业生产安全设施更新改造。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在工业生产安全等重点领域推广应用先进适用安全装备，加强安全生产装备升级改造与配备配置。摸清石化、民爆等重点行业生产设备使用现状，制定涉及老旧化工装置更新实施计划。在石化领域，加强洋浦、东方化工园区环境应急防控体系建设，妥善化解老旧装置工艺风险大、动设备故障率高、静设备易泄露等安全风险，提升行业本质安全水平。在民爆领域，完善民爆行业安全体系建设，实施“机械化换人、自动化减人”和“机器人替人”工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四、保障措施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（一）加强组织领导。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各市县政府要高度重视，强化部门协作，形成工作合力。各市县工信、发改、环保、应急部门按照职责对工业领域设备更新项目实施清单滚动管理，组织开展生产设备、用能设备、环保设备和应急设备的更新升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（二）加大财税保障。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加强财税资金保障，引导社会投资，积极争取中央预算内资金支持，统筹用好促进经济高质量发展财政资金，加大对工业领域设备更新项目建设的支持。落实好国家节能节水、环境保护、安全生产专用设备税收优惠政策，将数字化、智能化改造纳入优惠范围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（三）强化金融支持。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强化银企对接，向金融机构推荐有融资需求的技术改造项目，引导金融机构加大制造业中长期贷款投放。鼓励金融机构用好科技创新和技术改造专项再贷款等政策工具，依法依规加大对科技型中小企业，以及对重点领域技术改造和设备更新项目的金融支持力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（四）做好标准实施衔接。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严格执行国家部委制定或修订的关于能耗、排放、安全等强制性标准和设备淘汰目录要求，并在相关工程建设地方标准技术内容中予以衔接。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（五）加强要素保障。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加强相关企业技术改造项目用地、用能等要素保障。对不新增用地、以设备更新为主的技术改造项目，简化前期审批手续。统计部门做好企业技改项目纳统辅导工作。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jE5YzQxZTEwZmYwNTI4OGY4M2UyYjBlOTU4ZmEifQ=="/>
  </w:docVars>
  <w:rsids>
    <w:rsidRoot w:val="50227C68"/>
    <w:rsid w:val="08342A19"/>
    <w:rsid w:val="162E7527"/>
    <w:rsid w:val="18322F86"/>
    <w:rsid w:val="19C83F1E"/>
    <w:rsid w:val="1C8D0257"/>
    <w:rsid w:val="28F94FC1"/>
    <w:rsid w:val="2C306FA6"/>
    <w:rsid w:val="3F836A3B"/>
    <w:rsid w:val="50227C68"/>
    <w:rsid w:val="5B0854E3"/>
    <w:rsid w:val="61101C4C"/>
    <w:rsid w:val="69C05240"/>
    <w:rsid w:val="6A855988"/>
    <w:rsid w:val="77EA5AEA"/>
    <w:rsid w:val="7CA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240" w:lineRule="auto"/>
      <w:ind w:firstLine="0" w:firstLineChars="0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adjustRightInd w:val="0"/>
      <w:spacing w:before="260" w:beforeLines="0" w:after="260" w:afterLines="0" w:line="240" w:lineRule="auto"/>
      <w:ind w:firstLine="0" w:firstLineChars="0"/>
      <w:jc w:val="left"/>
      <w:textAlignment w:val="baseline"/>
      <w:outlineLvl w:val="1"/>
    </w:pPr>
    <w:rPr>
      <w:rFonts w:ascii="Arial" w:hAnsi="Arial" w:eastAsia="宋体" w:cs="Times New Roman"/>
      <w:b/>
      <w:kern w:val="0"/>
      <w:sz w:val="28"/>
    </w:rPr>
  </w:style>
  <w:style w:type="paragraph" w:styleId="4">
    <w:name w:val="heading 3"/>
    <w:basedOn w:val="5"/>
    <w:next w:val="1"/>
    <w:link w:val="15"/>
    <w:semiHidden/>
    <w:unhideWhenUsed/>
    <w:qFormat/>
    <w:uiPriority w:val="0"/>
    <w:pPr>
      <w:keepNext/>
      <w:keepLines/>
      <w:spacing w:before="260" w:beforeLines="0" w:after="260" w:afterLines="0" w:line="240" w:lineRule="auto"/>
      <w:jc w:val="left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" w:cs="Times New Roman"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="Times New Roman" w:hAnsi="Times New Roman" w:eastAsia="仿宋" w:cs="Times New Roman"/>
      <w:sz w:val="21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样式1"/>
    <w:basedOn w:val="4"/>
    <w:next w:val="1"/>
    <w:uiPriority w:val="0"/>
    <w:pPr>
      <w:spacing w:line="240" w:lineRule="auto"/>
      <w:jc w:val="left"/>
    </w:pPr>
    <w:rPr>
      <w:rFonts w:ascii="Times New Roman" w:hAnsi="Times New Roman" w:eastAsia="宋体" w:cs="Times New Roman"/>
      <w:szCs w:val="32"/>
    </w:rPr>
  </w:style>
  <w:style w:type="paragraph" w:customStyle="1" w:styleId="12">
    <w:name w:val="样式2"/>
    <w:basedOn w:val="4"/>
    <w:next w:val="1"/>
    <w:uiPriority w:val="0"/>
    <w:pPr>
      <w:spacing w:line="240" w:lineRule="auto"/>
      <w:jc w:val="left"/>
    </w:pPr>
    <w:rPr>
      <w:rFonts w:ascii="Times New Roman" w:hAnsi="Times New Roman" w:eastAsia="宋体" w:cs="Times New Roman"/>
      <w:sz w:val="30"/>
      <w:szCs w:val="32"/>
    </w:rPr>
  </w:style>
  <w:style w:type="paragraph" w:customStyle="1" w:styleId="13">
    <w:name w:val="样式3"/>
    <w:basedOn w:val="4"/>
    <w:next w:val="1"/>
    <w:uiPriority w:val="0"/>
    <w:pPr>
      <w:spacing w:line="240" w:lineRule="auto"/>
      <w:jc w:val="left"/>
    </w:pPr>
    <w:rPr>
      <w:rFonts w:ascii="Times New Roman" w:hAnsi="Times New Roman" w:eastAsia="宋体" w:cs="Times New Roman"/>
      <w:sz w:val="28"/>
      <w:szCs w:val="32"/>
    </w:rPr>
  </w:style>
  <w:style w:type="character" w:customStyle="1" w:styleId="14">
    <w:name w:val="标题 2 Char"/>
    <w:link w:val="3"/>
    <w:uiPriority w:val="0"/>
    <w:rPr>
      <w:rFonts w:ascii="Arial" w:hAnsi="Arial" w:eastAsia="宋体" w:cs="Times New Roman"/>
      <w:b/>
      <w:kern w:val="0"/>
      <w:sz w:val="28"/>
    </w:rPr>
  </w:style>
  <w:style w:type="character" w:customStyle="1" w:styleId="15">
    <w:name w:val="标题 3 Char"/>
    <w:basedOn w:val="10"/>
    <w:link w:val="4"/>
    <w:uiPriority w:val="9"/>
    <w:rPr>
      <w:rFonts w:ascii="Times New Roman" w:hAnsi="Times New Roman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2024-05-30T02:14:00Z</dcterms:created>
  <dc:creator>蝶恋花</dc:creator>
  <cp:lastModifiedBy>蝶恋花</cp:lastModifiedBy>
  <dcterms:modified xsi:type="dcterms:W3CDTF">2024-05-30T02:16:40Z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5306DC4026B3426085A8B996696698B6_11</vt:lpwstr>
  </property>
</Properties>
</file>