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spacing w:before="0" w:beforeLines="0" w:line="640" w:lineRule="exact"/>
        <w:ind w:right="0" w:rightChars="0"/>
        <w:rPr>
          <w:rFonts w:hint="default" w:ascii="Times New Roman" w:hAnsi="Times New Roman" w:eastAsia="方正黑体_GBK" w:cs="Times New Roman"/>
        </w:rPr>
      </w:pPr>
      <w:r>
        <w:rPr>
          <w:rFonts w:hint="default" w:ascii="Times New Roman" w:hAnsi="Times New Roman" w:eastAsia="方正黑体_GBK" w:cs="Times New Roman"/>
        </w:rPr>
        <w:t>附</w:t>
      </w:r>
      <w:r>
        <w:rPr>
          <w:rFonts w:hint="eastAsia" w:ascii="Times New Roman" w:hAnsi="Times New Roman" w:eastAsia="方正黑体_GBK" w:cs="Times New Roman"/>
          <w:lang w:eastAsia="zh-CN"/>
        </w:rPr>
        <w:t>件</w:t>
      </w:r>
      <w:r>
        <w:rPr>
          <w:rFonts w:hint="default" w:ascii="Times New Roman" w:hAnsi="Times New Roman" w:eastAsia="方正黑体_GBK" w:cs="Times New Roman"/>
        </w:rPr>
        <w:t>2</w:t>
      </w:r>
    </w:p>
    <w:p>
      <w:pPr>
        <w:adjustRightInd w:val="0"/>
        <w:snapToGrid w:val="0"/>
        <w:spacing w:line="6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宿迁市中心城市城市更新储备项目清单</w:t>
      </w:r>
    </w:p>
    <w:p>
      <w:pPr>
        <w:adjustRightInd w:val="0"/>
        <w:snapToGrid w:val="0"/>
        <w:spacing w:line="400" w:lineRule="exact"/>
        <w:jc w:val="center"/>
        <w:rPr>
          <w:rFonts w:hint="default" w:ascii="Times New Roman" w:hAnsi="Times New Roman" w:eastAsia="方正小标宋_GBK" w:cs="Times New Roman"/>
          <w:sz w:val="44"/>
          <w:szCs w:val="44"/>
        </w:rPr>
      </w:pPr>
    </w:p>
    <w:tbl>
      <w:tblPr>
        <w:tblStyle w:val="9"/>
        <w:tblW w:w="14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809"/>
        <w:gridCol w:w="677"/>
        <w:gridCol w:w="1211"/>
        <w:gridCol w:w="4528"/>
        <w:gridCol w:w="1275"/>
        <w:gridCol w:w="2285"/>
        <w:gridCol w:w="1276"/>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44" w:hRule="atLeast"/>
          <w:tblHeader/>
          <w:jc w:val="center"/>
        </w:trPr>
        <w:tc>
          <w:tcPr>
            <w:tcW w:w="809"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行动</w:t>
            </w: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序号</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项目名称</w:t>
            </w:r>
          </w:p>
        </w:tc>
        <w:tc>
          <w:tcPr>
            <w:tcW w:w="452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建设内容及规模</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建设年限</w:t>
            </w:r>
          </w:p>
        </w:tc>
        <w:tc>
          <w:tcPr>
            <w:tcW w:w="228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进度安排</w:t>
            </w:r>
          </w:p>
        </w:tc>
        <w:tc>
          <w:tcPr>
            <w:tcW w:w="1276" w:type="dxa"/>
            <w:tcMar>
              <w:top w:w="57" w:type="dxa"/>
              <w:left w:w="57" w:type="dxa"/>
              <w:bottom w:w="57" w:type="dxa"/>
              <w:right w:w="57" w:type="dxa"/>
            </w:tcMar>
            <w:vAlign w:val="center"/>
          </w:tcPr>
          <w:p>
            <w:pPr>
              <w:pStyle w:val="11"/>
              <w:spacing w:line="240" w:lineRule="exact"/>
              <w:rPr>
                <w:rFonts w:hint="default" w:ascii="Times New Roman" w:hAnsi="Times New Roman" w:eastAsia="方正黑体_GBK" w:cs="Times New Roman"/>
                <w:szCs w:val="21"/>
              </w:rPr>
            </w:pPr>
            <w:r>
              <w:rPr>
                <w:rFonts w:hint="default" w:ascii="Times New Roman" w:hAnsi="Times New Roman" w:eastAsia="方正黑体_GBK" w:cs="Times New Roman"/>
                <w:sz w:val="21"/>
                <w:szCs w:val="21"/>
              </w:rPr>
              <w:t>责任</w:t>
            </w:r>
            <w:r>
              <w:rPr>
                <w:rFonts w:hint="default" w:ascii="Times New Roman" w:hAnsi="Times New Roman" w:eastAsia="方正黑体_GBK" w:cs="Times New Roman"/>
                <w:szCs w:val="21"/>
              </w:rPr>
              <w:t>部门</w:t>
            </w:r>
          </w:p>
        </w:tc>
        <w:tc>
          <w:tcPr>
            <w:tcW w:w="2078" w:type="dxa"/>
            <w:tcMar>
              <w:top w:w="57" w:type="dxa"/>
              <w:left w:w="57" w:type="dxa"/>
              <w:bottom w:w="57" w:type="dxa"/>
              <w:right w:w="57" w:type="dxa"/>
            </w:tcMar>
            <w:vAlign w:val="center"/>
          </w:tcPr>
          <w:p>
            <w:pPr>
              <w:pStyle w:val="11"/>
              <w:spacing w:line="240" w:lineRule="exact"/>
              <w:rPr>
                <w:rFonts w:hint="default" w:ascii="Times New Roman" w:hAnsi="Times New Roman" w:eastAsia="方正黑体_GBK" w:cs="Times New Roman"/>
                <w:szCs w:val="21"/>
              </w:rPr>
            </w:pPr>
            <w:r>
              <w:rPr>
                <w:rFonts w:hint="default" w:ascii="Times New Roman" w:hAnsi="Times New Roman" w:eastAsia="方正黑体_GBK" w:cs="Times New Roman"/>
                <w:sz w:val="21"/>
                <w:szCs w:val="21"/>
              </w:rPr>
              <w:t>参与</w:t>
            </w:r>
            <w:r>
              <w:rPr>
                <w:rFonts w:hint="default" w:ascii="Times New Roman" w:hAnsi="Times New Roman" w:eastAsia="方正黑体_GBK" w:cs="Times New Roman"/>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664" w:hRule="atLeast"/>
          <w:jc w:val="center"/>
        </w:trPr>
        <w:tc>
          <w:tcPr>
            <w:tcW w:w="809"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安全隐患消除韧性提升行动</w:t>
            </w: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应急避难场所完善</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选取体育中心等既有设施改造提升为室内应急避难场所，选取部分口袋公园和街边绿地建设紧急型避难场所。</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2024年开展前期谋划、立项等工作，2025</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2028年有序实施。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宿豫区、宿城区人民政府，市各功能区管委会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市住房城乡建设局、市应急管理局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64" w:hRule="atLeast"/>
          <w:jc w:val="center"/>
        </w:trPr>
        <w:tc>
          <w:tcPr>
            <w:tcW w:w="809" w:type="dxa"/>
            <w:vMerge w:val="restart"/>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基础设施补短板强优行动</w:t>
            </w:r>
          </w:p>
        </w:tc>
        <w:tc>
          <w:tcPr>
            <w:tcW w:w="677" w:type="dxa"/>
            <w:vMerge w:val="restart"/>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1211" w:type="dxa"/>
            <w:vMerge w:val="restart"/>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经开区再生水回用工程</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经开区污水处理厂再生水管网工程，建设DN200</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DN1000再生水利用管道、泵站及附属配套设施。</w:t>
            </w:r>
            <w:r>
              <w:rPr>
                <w:rFonts w:hint="default" w:ascii="Times New Roman" w:hAnsi="Times New Roman" w:eastAsia="方正仿宋_GBK" w:cs="Times New Roman"/>
                <w:color w:val="000000" w:themeColor="text1"/>
                <w:szCs w:val="21"/>
                <w14:textFill>
                  <w14:solidFill>
                    <w14:schemeClr w14:val="tx1"/>
                  </w14:solidFill>
                </w14:textFill>
              </w:rPr>
              <w:t>计划总投资500万元。</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2025</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2024年启动前期手续办理，2025年底建设完成、投入运营。</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宿迁经济技术开发区管委会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24" w:hRule="atLeast"/>
          <w:jc w:val="center"/>
        </w:trPr>
        <w:tc>
          <w:tcPr>
            <w:tcW w:w="809"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677"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1211"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经开区再生水厂建设项目，占地90亩，建设日处理规模10万吨的再生水厂及配套供水管网。</w:t>
            </w:r>
            <w:r>
              <w:rPr>
                <w:rFonts w:hint="default" w:ascii="Times New Roman" w:hAnsi="Times New Roman" w:eastAsia="方正仿宋_GBK" w:cs="Times New Roman"/>
                <w:color w:val="000000" w:themeColor="text1"/>
                <w:szCs w:val="21"/>
                <w14:textFill>
                  <w14:solidFill>
                    <w14:schemeClr w14:val="tx1"/>
                  </w14:solidFill>
                </w14:textFill>
              </w:rPr>
              <w:t>计划总投资1.8亿元。</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2025</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2024年进场施工，2025年投产运营。</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宿迁经济技术开发区管委会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809"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住有宜居品质营造</w:t>
            </w:r>
          </w:p>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行动</w:t>
            </w: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trike/>
                <w:color w:val="C00000"/>
                <w:szCs w:val="21"/>
              </w:rPr>
            </w:pPr>
            <w:r>
              <w:rPr>
                <w:rFonts w:hint="default" w:ascii="Times New Roman" w:hAnsi="Times New Roman" w:eastAsia="方正仿宋_GBK" w:cs="Times New Roman"/>
                <w:szCs w:val="21"/>
              </w:rPr>
              <w:t>3</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适老住区</w:t>
            </w:r>
          </w:p>
          <w:p>
            <w:pPr>
              <w:adjustRightInd w:val="0"/>
              <w:snapToGrid w:val="0"/>
              <w:spacing w:line="240" w:lineRule="exact"/>
              <w:jc w:val="center"/>
              <w:rPr>
                <w:rFonts w:hint="default" w:ascii="Times New Roman" w:hAnsi="Times New Roman" w:eastAsia="方正仿宋_GBK" w:cs="Times New Roman"/>
                <w:strike/>
                <w:color w:val="C00000"/>
                <w:szCs w:val="21"/>
              </w:rPr>
            </w:pPr>
            <w:r>
              <w:rPr>
                <w:rFonts w:hint="default" w:ascii="Times New Roman" w:hAnsi="Times New Roman" w:eastAsia="方正仿宋_GBK" w:cs="Times New Roman"/>
                <w:szCs w:val="21"/>
              </w:rPr>
              <w:t>改造</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trike/>
                <w:color w:val="C00000"/>
                <w:szCs w:val="21"/>
              </w:rPr>
            </w:pPr>
            <w:r>
              <w:rPr>
                <w:rFonts w:hint="default" w:ascii="Times New Roman" w:hAnsi="Times New Roman" w:eastAsia="方正仿宋_GBK" w:cs="Times New Roman"/>
                <w:szCs w:val="21"/>
              </w:rPr>
              <w:t>对项王一期、天星花园一期等老旧小区进行适老化改造，推进困难老年人家庭适老化改造，有条件楼栋加装电梯，加强小区公共区域无障碍化改造，增补小区老年人室外活动场地，补齐街道养老服务设施短板。</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trike/>
                <w:color w:val="C00000"/>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trike/>
                <w:color w:val="C00000"/>
                <w:szCs w:val="21"/>
              </w:rPr>
            </w:pPr>
            <w:r>
              <w:rPr>
                <w:rFonts w:hint="default" w:ascii="Times New Roman" w:hAnsi="Times New Roman" w:eastAsia="方正仿宋_GBK" w:cs="Times New Roman"/>
                <w:szCs w:val="21"/>
              </w:rPr>
              <w:t>按年度计划分批实施。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trike/>
                <w:color w:val="C00000"/>
                <w:szCs w:val="21"/>
              </w:rPr>
            </w:pPr>
            <w:r>
              <w:rPr>
                <w:rFonts w:hint="default" w:ascii="Times New Roman" w:hAnsi="Times New Roman" w:eastAsia="方正仿宋_GBK" w:cs="Times New Roman"/>
                <w:szCs w:val="21"/>
              </w:rPr>
              <w:t>宿豫区、宿城区人民政府，市各功能区管委会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trike/>
                <w:color w:val="C00000"/>
                <w:szCs w:val="21"/>
              </w:rPr>
            </w:pPr>
            <w:r>
              <w:rPr>
                <w:rFonts w:hint="default" w:ascii="Times New Roman" w:hAnsi="Times New Roman" w:eastAsia="方正仿宋_GBK" w:cs="Times New Roman"/>
                <w:szCs w:val="21"/>
              </w:rPr>
              <w:t>市住房城乡建设局、市民政局、市自然资源和规划局、</w:t>
            </w:r>
            <w:r>
              <w:rPr>
                <w:rFonts w:hint="default" w:ascii="Times New Roman" w:hAnsi="Times New Roman" w:eastAsia="方正仿宋_GBK" w:cs="Times New Roman"/>
                <w:szCs w:val="21"/>
                <w:shd w:val="clear" w:color="auto" w:fill="auto"/>
              </w:rPr>
              <w:t>市体育局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809" w:type="dxa"/>
            <w:vMerge w:val="restart"/>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城市品牌价值提升</w:t>
            </w:r>
          </w:p>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行动</w:t>
            </w: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项王故里提升改造</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对项王故里（西楚大街商业街区）进行提升改造，引入文创商店、特色美食、休闲娱乐等业态类型，举办流动市集、庙会灯会、民间演艺等活动，推动传统文化及非遗项目进景区、进街区。</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2024年启动建设，2028年完成。</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市文旅集团</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市文化广电和旅游局、市城管局、市商</w:t>
            </w:r>
            <w:r>
              <w:rPr>
                <w:rFonts w:hint="default" w:ascii="Times New Roman" w:hAnsi="Times New Roman" w:eastAsia="方正仿宋_GBK" w:cs="Times New Roman"/>
                <w:spacing w:val="-6"/>
                <w:szCs w:val="21"/>
              </w:rPr>
              <w:t>务局，宿城区人民政府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809"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5</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两河四岸公共空间贯通</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疏通古黄河、大运河沿线公共空间堵点，对既有岸线进行景观品质提升，增补文旅、游憩、体育等功能设施，凸显场所活力与水韵文化，满足全龄人群需求。</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按年度计划分批实施。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宿豫区、宿城区人民政府，市各功能区管委会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809" w:type="dxa"/>
            <w:vMerge w:val="restart"/>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城市品牌价值提升</w:t>
            </w:r>
          </w:p>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行动</w:t>
            </w: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6</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西民便河、清水河、马陵河绿廊</w:t>
            </w:r>
          </w:p>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提升</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对西民便河、清水河、马陵河沿岸滨水空间进行更新改造，分段打造各类主题空间，增补“滨水+游憩”“滨水+文化”等设施，贯通沿线慢行系统。</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2024年启动建设，2028年完成。</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宿豫区、宿城区人民政府，市各功能区管委会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24" w:hRule="atLeast"/>
          <w:jc w:val="center"/>
        </w:trPr>
        <w:tc>
          <w:tcPr>
            <w:tcW w:w="809"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新盛街—东大街周边片区更新</w:t>
            </w:r>
          </w:p>
        </w:tc>
        <w:tc>
          <w:tcPr>
            <w:tcW w:w="4528" w:type="dxa"/>
            <w:tcMar>
              <w:top w:w="57" w:type="dxa"/>
              <w:left w:w="57" w:type="dxa"/>
              <w:bottom w:w="57" w:type="dxa"/>
              <w:right w:w="57" w:type="dxa"/>
            </w:tcMar>
            <w:vAlign w:val="center"/>
          </w:tcPr>
          <w:p>
            <w:pPr>
              <w:adjustRightInd w:val="0"/>
              <w:snapToGrid w:val="0"/>
              <w:spacing w:line="22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统筹开展新盛街—东大街多处历史建筑活化利用、周边公共空间提升改造、附近商业提档升级、工行宿舍地块和协作公司宿舍楼棚户区改造、新盛街马陵河沿线滨水空间改造提升等，推动历史文化保护传承与片区整体更新提升。计划总投资约8亿元。</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2024年开展前期谋划、立项等工作，2025</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2028年有序实施。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市城投集团</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44" w:hRule="atLeast"/>
          <w:jc w:val="center"/>
        </w:trPr>
        <w:tc>
          <w:tcPr>
            <w:tcW w:w="809"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8</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科工路西侧片区更新</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北至古城路、西至天柱山路和科兴路、南至勇进路和西湖西路、东至科工路，统筹开展隆锦路沿线低效产业提档升级、其他低效用地退二优二、零星农村宅基地腾退等。计划总投资约20亿元。</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2025</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2024年开展前期谋划、立项等工作，2025</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2028年有序实施。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宿城区人民政府</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644" w:hRule="atLeast"/>
          <w:jc w:val="center"/>
        </w:trPr>
        <w:tc>
          <w:tcPr>
            <w:tcW w:w="809"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9</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顺河片区</w:t>
            </w:r>
          </w:p>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更新</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北至项王东路、西至西楚大道、南至北京路、东至酒都路，统筹开展以雪峰山路沿线为主的低效工业用地退二优二、原顺河镇农房集聚区成片改造、滨水空间沿线空间腾退和贯通开放等。计划总投资约30亿元。</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2024年开展前期谋划、立项等工作，2025</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2028年有序实施。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宿豫区人民政府</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809"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迎宾大道东侧宜居片区更新</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北至西湖路、西至迎宾大道、南至北京路、东至发展大道，统筹开展人民大道沿线老旧小区成片改造以及片区内低效工业用地整治等。计划总投资约40亿元。</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2024年开展前期谋划、立项等工作，2025</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2028年有序实施。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宿迁经济技术开发区管委会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809" w:type="dxa"/>
            <w:vMerge w:val="restart"/>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创业友好活力塑造</w:t>
            </w:r>
          </w:p>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行动</w:t>
            </w: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11</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青年公寓保障性租赁住房改造</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选取闲置和低效利用的商业办公、旅馆、厂房、仓储等非居住存量房屋，改建为保障性租赁住房。重点安排在各开发区、产业园区，兼顾城市重点建设片区。</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按年度计划分批实施。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宿豫区、宿城区人民政府，市各功能区管委会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市住房城乡建设局、市自然资源和规划局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624" w:hRule="atLeast"/>
          <w:jc w:val="center"/>
        </w:trPr>
        <w:tc>
          <w:tcPr>
            <w:tcW w:w="809"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12</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适青完整住区建设</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对既有青年公寓、倒班楼周边环境进行改造，通过补建、购置、置换、租赁、改造等方式，补齐便民商业、休闲娱乐等各类适青服务短板。鼓励在闲置空地、楼群间开辟健身休闲运动场所等适青公共空间。</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按年度计划分批实施。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宿豫区、宿城区人民政府，市各功能区管委会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市住房城乡建设局、市自然资源和规划局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809" w:type="dxa"/>
            <w:tcMar>
              <w:top w:w="57" w:type="dxa"/>
              <w:left w:w="57" w:type="dxa"/>
              <w:bottom w:w="57" w:type="dxa"/>
              <w:right w:w="57" w:type="dxa"/>
            </w:tcMar>
            <w:vAlign w:val="center"/>
          </w:tcPr>
          <w:p>
            <w:pPr>
              <w:adjustRightInd w:val="0"/>
              <w:snapToGrid w:val="0"/>
              <w:spacing w:line="2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创业友好活力塑造</w:t>
            </w:r>
          </w:p>
          <w:p>
            <w:pPr>
              <w:adjustRightInd w:val="0"/>
              <w:snapToGrid w:val="0"/>
              <w:spacing w:line="2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行动</w:t>
            </w: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13</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青创空间</w:t>
            </w:r>
          </w:p>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改造</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挖潜存量空间，通过改造闲置低效的商务楼宇、工业厂房和物流设施等，布局一批小而精、小而美的嵌入式创新创业空间。</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按年度计划分批实施。</w:t>
            </w:r>
          </w:p>
        </w:tc>
        <w:tc>
          <w:tcPr>
            <w:tcW w:w="1276" w:type="dxa"/>
            <w:tcMar>
              <w:top w:w="57" w:type="dxa"/>
              <w:left w:w="57" w:type="dxa"/>
              <w:bottom w:w="57" w:type="dxa"/>
              <w:right w:w="57" w:type="dxa"/>
            </w:tcMar>
            <w:vAlign w:val="center"/>
          </w:tcPr>
          <w:p>
            <w:pPr>
              <w:adjustRightInd w:val="0"/>
              <w:snapToGrid w:val="0"/>
              <w:spacing w:line="2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宿豫区、宿城区人民政府，市各功能区管委会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市自然资源和规划局、市科技局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809" w:type="dxa"/>
            <w:vMerge w:val="restart"/>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历史文化保护传承</w:t>
            </w:r>
          </w:p>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行动</w:t>
            </w: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14</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二招会堂等历史建筑修缮活化利用</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实施二招会堂、老法庭等历史建筑修缮及活化利用，重点保护体现其核心价值的外观、结构和构件等，及时加固消除安全隐患，并植入公共服务或消费服务功能，向市民开放共享。</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2024年开展前期谋划、立项等工作，2025</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2028年有序实施。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宿豫区、宿城区人民政府，市各功能区管委会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809"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15</w:t>
            </w:r>
          </w:p>
        </w:tc>
        <w:tc>
          <w:tcPr>
            <w:tcW w:w="1211" w:type="dxa"/>
            <w:tcMar>
              <w:top w:w="57" w:type="dxa"/>
              <w:left w:w="57" w:type="dxa"/>
              <w:bottom w:w="57" w:type="dxa"/>
              <w:right w:w="57" w:type="dxa"/>
            </w:tcMar>
            <w:vAlign w:val="center"/>
          </w:tcPr>
          <w:p>
            <w:pPr>
              <w:adjustRightInd w:val="0"/>
              <w:snapToGrid w:val="0"/>
              <w:spacing w:line="2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国有文物保护单位活化利用与开放共享</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推动东大街、洋河古建筑群等多处国有文物保护单位活化利用与开放共享。</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2024年开展前期谋划、立项等工作，2025</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2028年有序实施。</w:t>
            </w:r>
          </w:p>
        </w:tc>
        <w:tc>
          <w:tcPr>
            <w:tcW w:w="1276" w:type="dxa"/>
            <w:tcMar>
              <w:top w:w="57" w:type="dxa"/>
              <w:left w:w="57" w:type="dxa"/>
              <w:bottom w:w="57" w:type="dxa"/>
              <w:right w:w="57" w:type="dxa"/>
            </w:tcMar>
            <w:vAlign w:val="center"/>
          </w:tcPr>
          <w:p>
            <w:pPr>
              <w:adjustRightInd w:val="0"/>
              <w:snapToGrid w:val="0"/>
              <w:spacing w:line="2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宿豫区、宿城区人民政府，市各功能区管委会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809" w:type="dxa"/>
            <w:vMerge w:val="restart"/>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绿色生态空间精筑乐享行动</w:t>
            </w: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16</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活力街巷街角改造提升</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对宿城区、宿豫区等街巷街角闲置地块进行改造提升，优化景观环境，增设服务与休憩设施，融入特色文化元素，提升街道活力。</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按年度计划分批实施。</w:t>
            </w:r>
          </w:p>
        </w:tc>
        <w:tc>
          <w:tcPr>
            <w:tcW w:w="1276" w:type="dxa"/>
            <w:tcMar>
              <w:top w:w="57" w:type="dxa"/>
              <w:left w:w="57" w:type="dxa"/>
              <w:bottom w:w="57" w:type="dxa"/>
              <w:right w:w="57" w:type="dxa"/>
            </w:tcMar>
            <w:vAlign w:val="center"/>
          </w:tcPr>
          <w:p>
            <w:pPr>
              <w:adjustRightInd w:val="0"/>
              <w:snapToGrid w:val="0"/>
              <w:spacing w:line="2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宿豫区、宿城区人民政府，市各功能区管委会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市住房城乡建设局、市城管局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809"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17</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桥下空间美化改造</w:t>
            </w:r>
          </w:p>
        </w:tc>
        <w:tc>
          <w:tcPr>
            <w:tcW w:w="4528" w:type="dxa"/>
            <w:tcMar>
              <w:top w:w="57" w:type="dxa"/>
              <w:left w:w="57" w:type="dxa"/>
              <w:bottom w:w="57" w:type="dxa"/>
              <w:right w:w="57" w:type="dxa"/>
            </w:tcMar>
            <w:vAlign w:val="center"/>
          </w:tcPr>
          <w:p>
            <w:pPr>
              <w:adjustRightInd w:val="0"/>
              <w:snapToGrid w:val="0"/>
              <w:spacing w:line="22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对迎宾大道黄河桥、运河三号桥、四号桥、五号桥等桥下空间进行景观美化、功能提升，通过增加运动设施、连通桥下慢行空间、增加主题装饰景观等方式，丰富桥下空间游憩类型，打造成为城市“公共客厅”。</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按年度计划分批实施。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宿豫区、宿城区人民政府，市各功能区管委会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市住房城乡建设局、市城管局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809"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18</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“公园+”服务驿站改造</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对运河湾公园、古黄河水景公园、酒都公园、千鸟园等进行“公园+”更新改造，增补服务驿站，提供科普、文艺、商业、阅读等复合功能。</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按年度计划分批实施。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市住房城乡建设局</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市城管局</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宿豫区、宿城区人民政府，市各功能区管委会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809" w:type="dxa"/>
            <w:vMerge w:val="continue"/>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19</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林荫片区示范项目</w:t>
            </w:r>
          </w:p>
        </w:tc>
        <w:tc>
          <w:tcPr>
            <w:tcW w:w="4528" w:type="dxa"/>
            <w:tcMar>
              <w:top w:w="57" w:type="dxa"/>
              <w:left w:w="57" w:type="dxa"/>
              <w:bottom w:w="57" w:type="dxa"/>
              <w:right w:w="57" w:type="dxa"/>
            </w:tcMar>
            <w:vAlign w:val="center"/>
          </w:tcPr>
          <w:p>
            <w:pPr>
              <w:adjustRightInd w:val="0"/>
              <w:snapToGrid w:val="0"/>
              <w:spacing w:line="22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选择洪泽湖路</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发展大道</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西湖路</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古黄河等片区作为示范片区，推动林荫范围从主干道向背街小巷、小区及滨水空间延伸，形成“三季有花、四季常绿”的城市绿化环境。</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2024年开展前期谋划、立项等工作，2025</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2028年有序实施。</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市住房城乡建设局</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市城管局</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宿豫区、宿城区人民政府，市各功能区管委会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09" w:type="dxa"/>
            <w:tcMar>
              <w:top w:w="57" w:type="dxa"/>
              <w:left w:w="57" w:type="dxa"/>
              <w:bottom w:w="57" w:type="dxa"/>
              <w:right w:w="57" w:type="dxa"/>
            </w:tcMar>
            <w:vAlign w:val="center"/>
          </w:tcPr>
          <w:p>
            <w:pPr>
              <w:adjustRightInd w:val="0"/>
              <w:snapToGrid w:val="0"/>
              <w:spacing w:line="2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智慧赋能城市治理现代化</w:t>
            </w:r>
          </w:p>
          <w:p>
            <w:pPr>
              <w:adjustRightInd w:val="0"/>
              <w:snapToGrid w:val="0"/>
              <w:spacing w:line="2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行动</w:t>
            </w:r>
          </w:p>
        </w:tc>
        <w:tc>
          <w:tcPr>
            <w:tcW w:w="677"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w:t>
            </w:r>
          </w:p>
        </w:tc>
        <w:tc>
          <w:tcPr>
            <w:tcW w:w="1211"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经开区智慧停车工程</w:t>
            </w:r>
          </w:p>
        </w:tc>
        <w:tc>
          <w:tcPr>
            <w:tcW w:w="4528"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义乌商贸城智慧停车预计建设800个停车位，淮海建材城智慧停车预计建设1000个停车位，</w:t>
            </w:r>
            <w:r>
              <w:rPr>
                <w:rFonts w:hint="default" w:ascii="Times New Roman" w:hAnsi="Times New Roman" w:eastAsia="方正仿宋_GBK" w:cs="Times New Roman"/>
                <w:color w:val="000000" w:themeColor="text1"/>
                <w:szCs w:val="21"/>
                <w14:textFill>
                  <w14:solidFill>
                    <w14:schemeClr w14:val="tx1"/>
                  </w14:solidFill>
                </w14:textFill>
              </w:rPr>
              <w:t>计划总投资1000万元。</w:t>
            </w:r>
          </w:p>
        </w:tc>
        <w:tc>
          <w:tcPr>
            <w:tcW w:w="1275"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2025</w:t>
            </w:r>
            <w:r>
              <w:rPr>
                <w:rFonts w:hint="eastAsia" w:ascii="Times New Roman" w:hAnsi="Times New Roman" w:eastAsia="方正仿宋_GBK" w:cs="Times New Roman"/>
                <w:szCs w:val="21"/>
                <w:lang w:eastAsia="zh-CN"/>
              </w:rPr>
              <w:t>—</w:t>
            </w:r>
            <w:r>
              <w:rPr>
                <w:rFonts w:hint="default" w:ascii="Times New Roman" w:hAnsi="Times New Roman" w:eastAsia="方正仿宋_GBK" w:cs="Times New Roman"/>
                <w:szCs w:val="21"/>
              </w:rPr>
              <w:t>2026</w:t>
            </w:r>
          </w:p>
        </w:tc>
        <w:tc>
          <w:tcPr>
            <w:tcW w:w="2285" w:type="dxa"/>
            <w:tcMar>
              <w:top w:w="57" w:type="dxa"/>
              <w:left w:w="57" w:type="dxa"/>
              <w:bottom w:w="57" w:type="dxa"/>
              <w:right w:w="57" w:type="dxa"/>
            </w:tcMar>
            <w:vAlign w:val="center"/>
          </w:tcPr>
          <w:p>
            <w:pPr>
              <w:adjustRightInd w:val="0"/>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2025年启动设计、进场施工，2026年投入使用。</w:t>
            </w:r>
          </w:p>
        </w:tc>
        <w:tc>
          <w:tcPr>
            <w:tcW w:w="1276"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宿迁经济技术开发区管委会</w:t>
            </w:r>
          </w:p>
        </w:tc>
        <w:tc>
          <w:tcPr>
            <w:tcW w:w="2078" w:type="dxa"/>
            <w:tcMar>
              <w:top w:w="57" w:type="dxa"/>
              <w:left w:w="57" w:type="dxa"/>
              <w:bottom w:w="57" w:type="dxa"/>
              <w:right w:w="57" w:type="dxa"/>
            </w:tcMar>
            <w:vAlign w:val="center"/>
          </w:tcPr>
          <w:p>
            <w:pPr>
              <w:adjustRightInd w:val="0"/>
              <w:snapToGrid w:val="0"/>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NzM3OTRmNGEzYWVlZGE0MDI5YzkxYTJjNzkzY2YifQ=="/>
  </w:docVars>
  <w:rsids>
    <w:rsidRoot w:val="53FF7340"/>
    <w:rsid w:val="53FF7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1"/>
    <w:basedOn w:val="1"/>
    <w:next w:val="1"/>
    <w:qFormat/>
    <w:uiPriority w:val="9"/>
    <w:pPr>
      <w:keepNext/>
      <w:keepLines/>
      <w:spacing w:before="156" w:beforeLines="50"/>
      <w:ind w:right="-197" w:rightChars="-94"/>
      <w:jc w:val="left"/>
      <w:outlineLvl w:val="0"/>
    </w:pPr>
    <w:rPr>
      <w:rFonts w:ascii="微软雅黑" w:hAnsi="微软雅黑" w:eastAsia="微软雅黑"/>
      <w:bCs/>
      <w:kern w:val="44"/>
      <w:sz w:val="32"/>
      <w:szCs w:val="30"/>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BodyText1I2"/>
    <w:basedOn w:val="3"/>
    <w:next w:val="5"/>
    <w:autoRedefine/>
    <w:qFormat/>
    <w:uiPriority w:val="0"/>
    <w:pPr>
      <w:ind w:left="0" w:leftChars="0"/>
    </w:pPr>
  </w:style>
  <w:style w:type="paragraph" w:customStyle="1" w:styleId="3">
    <w:name w:val="BodyTextIndent"/>
    <w:basedOn w:val="1"/>
    <w:next w:val="4"/>
    <w:qFormat/>
    <w:uiPriority w:val="0"/>
    <w:pPr>
      <w:spacing w:after="120"/>
      <w:ind w:left="420" w:leftChars="200"/>
      <w:textAlignment w:val="baseline"/>
    </w:pPr>
  </w:style>
  <w:style w:type="paragraph" w:customStyle="1" w:styleId="4">
    <w:name w:val="NormalIndent"/>
    <w:basedOn w:val="1"/>
    <w:autoRedefine/>
    <w:qFormat/>
    <w:uiPriority w:val="0"/>
    <w:pPr>
      <w:ind w:firstLine="420" w:firstLineChars="200"/>
    </w:pPr>
  </w:style>
  <w:style w:type="paragraph" w:customStyle="1" w:styleId="5">
    <w:name w:val="BodyText1I"/>
    <w:basedOn w:val="6"/>
    <w:autoRedefine/>
    <w:qFormat/>
    <w:uiPriority w:val="0"/>
    <w:pPr>
      <w:ind w:firstLine="420" w:firstLineChars="100"/>
    </w:pPr>
  </w:style>
  <w:style w:type="paragraph" w:customStyle="1" w:styleId="6">
    <w:name w:val="BodyText"/>
    <w:basedOn w:val="1"/>
    <w:next w:val="1"/>
    <w:autoRedefine/>
    <w:qFormat/>
    <w:uiPriority w:val="0"/>
    <w:pPr>
      <w:spacing w:after="120"/>
      <w:textAlignment w:val="baseline"/>
    </w:p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w表格1"/>
    <w:basedOn w:val="1"/>
    <w:qFormat/>
    <w:uiPriority w:val="0"/>
    <w:pPr>
      <w:adjustRightInd w:val="0"/>
      <w:snapToGrid w:val="0"/>
      <w:jc w:val="center"/>
    </w:pPr>
    <w:rPr>
      <w:rFonts w:ascii="仿宋" w:hAnsi="仿宋" w:eastAsia="仿宋"/>
      <w:sz w:val="24"/>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2024-05-14T07:26:00Z</dcterms:created>
  <dc:creator>86159</dc:creator>
  <cp:lastModifiedBy>86159</cp:lastModifiedBy>
  <dcterms:modified xsi:type="dcterms:W3CDTF">2024-05-14T07:26:50Z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E0346D5C8D73479FA1598DA180C1B38D_11</vt:lpwstr>
  </property>
</Properties>
</file>