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pPr>
      <w:bookmarkStart w:id="0" w:name="_GoBack"/>
      <w:r>
        <w:rPr>
          <w:rStyle w:val="11"/>
          <w:b/>
          <w:bCs/>
          <w:sz w:val="28"/>
          <w:szCs w:val="28"/>
        </w:rPr>
        <w:t>贵州省推动大规模设备更新和消费品以旧换新实施方案</w:t>
      </w:r>
    </w:p>
    <w:bookmarkEnd w:id="0"/>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为贯彻落实《国务院关于印发〈推动大规模设备更新和消费品以旧换新行动方案〉的通知》（国发〔2024〕7号），抢抓政策红利，加快推动我省大规模设备更新和消费品以旧换新，制定本实施方案。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一、总体要求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以习近平新时代中国特色社会主义思想为指导，深入贯彻党的二十大精神，贯彻落实党中央、国务院决策部署，全面落实省第十三次党代会部署，按照省委、省政府工作安排，聚焦七大领域设备更新和三大耐用消费品以旧换新带动的投资消费需求，大力实施设备更新、消费品以旧换新、回收循环利用、标准提升四大行动，加快推动“六大产业基地”建设和各市（州）主导产业提质增效，协同实现重点领域先进设备生产应用水平、高端化智能化绿色化先进产能比重、居民生活使用高质量耐用消费品比例持续提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到2025年，工业、农业、建筑、交通、教育、文旅、医疗等领域设备投资规模较2023年增长15%左右；规模以上工业企业数字化研发设计工具普及率、关键工序数控化率分别达80%、60%；报废汽车回收量较2023年增长50%，二手车交易量较2023年增长20%，废旧家电回收量较2023年增长15%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到2027年，工业、农业、建筑、交通、教育、文旅、医疗等领域设备投资规模较2023年增长25%以上；重点行业主要用能设备能效基本达到节能水平，环保绩效达到A级水平的产能比例大幅提升；规模以上工业企业数字化研发设计工具普及率、关键工序数控化率分别达90%、75%；报废汽车回收量较2023年增加约一倍，二手车交易量较2023年增长45%，废旧家电回收量较2023年增长30%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二、实施设备更新行动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（一）推动工业领域设备更新提标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推动高端化升级。锚定“3533”目标，聚焦“六大产业基地”建设涉及的重点产业，分行业有序推动先进设备生产应用。在原材料、装备制造、小水电、轻纺服装等传统行业，加快淘汰落后低效设备、超期服役老旧设备；在新能源电池及材料、新能源汽车等技术迭代快的新兴行业，鼓励企业更新一批高技术、高效率、高可靠性的先进设备，重点加快“电动贵州”建设，以“动力电池+储能电池”双赛道发展、重点新能源整车项目落地建设为突破口，加快布局服务先进产能的先进生产设备，推动从电池材料、动力电池到新能源汽车的全产业链集群化、高端化发展；在航空航天行业，全面开展飞机及航空发动机、航天防务装备总装集成能力、供应链配套能力等建设；在白酒等生物发酵行业，实施萃取提取工艺技改，更新蒸发器、离心机、新型干燥系统、连续离子交换设备等。（责任单位：省工业和信息化厅、省能源局、省水利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强化数字化赋能。实施工业领域数字化转型行动，依托华为云盘古大模型，聚焦酱酒、煤矿、化工、新材料、钢铁、有色、电力、建材等8个重点行业，大力推动行业龙头企业智能化升级改造，形成一批低成本、可复制的数字化转型方案，引领更多企业“上云用数赋智”，到2027年累计建成国家级智能制造示范工厂项目10个、省级数字化示范工厂项目100个、省级数字化示范车间200个。鼓励企业在矿石采选、冶炼加工、化工生产、精密制造、精细检测等生产过程中，科学合理布设高清摄像、高精度传感、高性能定位模组等采集设备，推广应用高端自动化系统。发挥智算规模和数据要素优势，以人工智能等未来产业为重点加快发展新质生产力，抢占智能算力、行业大模型、数据训练“三个制高点”，塑造数字经济发展新优势。（责任单位：省工业和信息化厅、省大数据局、省能源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加快绿色化改造。聚焦煤电、化工、钢铁、有色、建材等重点行业，按照《国家发展改革委等部门关于发布〈重点用能产品设备能效先进水平、节能水平和准入水平（2024年版）〉的通知》（发改环资规〔2024〕127号）要求和现行能耗、污染物排放等强制性国家标准，推动企业开展节能减排技改和重点设备更新改造，每年实施技术改造企业达1000户，到2025年钢铁、铁合金、电解铝、水泥、平板玻璃、合成氨等重点行业产能达到能效标杆水平的比例超过30%。深入开展绿色制造专项行动，推行绿色标准、绿色管理和绿色生产，到2025年创建国家级和省级绿色制造单位200家以上。实施数据中心绿色化节能改造，严格执行通讯、运算、存储、传输等设备的国家能效标准，加快淘汰落后设备，创建一批星级绿色数据中心。（责任单位：省工业和信息化厅、省能源局、省生态环境厅、省发展改革委、省大数据局、省通信管理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提升本质安全水平。加快矿山、工贸、危化等领域落后工艺、技术装备的淘汰退出，加强先进技术装备的推广应用，推动安全监管体系数字化转型、智能化升级改造。推动化工老旧装置安全改造，更新老旧煤气化炉、反应器（釜）、精馏塔、机泵、换热器、储罐等设备。在矿山、民爆行业实施“机械化换人、自动化减人、智能化无人”和“机器人替人”工程。围绕工业生产安全事故、地震地质灾害、洪水灾害、城市内涝灾害、城市特殊场景火灾、森林火灾、紧急生命救护、社区家庭安全应急等重点场景，推广应用安全应急、消防系统、个体防护等领域先进可靠安全装备，推动应急救援装备更新换代。（责任单位：省工业和信息化厅、省应急厅、省消防救援总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（二）推动建筑和市政基础设施设备更新提质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加快建筑领域设备更新改造。加大对老旧电梯隐患排查和安全风险评估力度，加快更新不符合现行产品标准、安全风险高的老旧住宅电梯和公共建筑电梯。结合推进老旧小区改造，适应老龄化需要，支持引导有条件的既有住宅加装电梯。以外墙保温、门窗、供热制冷装置等为重点，推进存量建筑节能改造。开展住宅区环境综合整治，因地制宜完善消防设施、适老设施、无障碍设施、停车场（库）、电动自行车充电设施等配套设施。拓宽磷石膏等工业固废在绿色建材中的应用场景，提升资源循环利用水平。（责任单位：省住房城乡建设厅、省市场监管局、省能源局、省工业和信息化厅、省机关事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加快市政基础设施更新改造。建立城市公共设施数据档案，稳步推进供水、供气、污水处理、环卫、城市生命线工程、安防等领域设施设备更新改造。推进自来水厂及加压调蓄供水设施设备升级改造，推动供水企业建设城市供水物联网及运行调度平台。推动城市功能区浅层地热能供暖（制冷）项目示范应用，加快既有供热用户按热计量改造。持续实施燃气、供水、污水等老化管道更新改造，到2027年新建改造城镇污水收集管网3000公里。推动污水处理厂提质增效和垃圾焚烧厂处理工艺更新改造，进一步提升城镇生活污水处理效能，到2027年基本建成城市生活垃圾分类处理系统。鼓励更新购置新能源环卫车辆以及智能化、无人化环卫作业机具设备。推动地下管网、桥梁隧道、窨井盖等城市生命线工程配套物联智能感知设备建设，建立完善全数据共享交换体系，建设“城市数据大脑”。推进城市道路照明设施设备智能化、绿色化升级改造。（责任单位：省住房城乡建设厅、省生态环境厅、省公安厅、省能源局、省大数据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（三）推动交通运输设备更新提速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加快新能源商用车、乘用车整车下线和推广应用，大力推进充换电基础设施建设，持续推进城市公交车、出租车（含网约车）、物流配送车、邮政快递车及党政机关公务用车电动化替代和动力电池更新换代。到2027年，新增及更新的公交车中新能源汽车占比达90%以上，其中贵阳市达100%；新增及更新的出租车（含网约车）中新能源、清洁能源汽车占比达90%以上；新增及更新的党政机关公务用车全部采用新能源或清洁能源汽车。深入实施清洁柴油机行动，加快淘汰国三及以下排放标准营运类柴油货车，在矿山、燃煤电厂等重点领域推广应用新能源重卡。加快建设贵州航空产业城，布局电动、氢能等绿色航空装备新赛道。加快高耗能高排放老旧船舶报废，推动纯电动船舶应用，加快船舶岸电受电设施改造。大力发展智慧交通和智慧物流。（责任单位：省交通运输厅、省邮政管理局、省机关事务局、省生态环境厅、省公安厅、省工业和信息化厅、省商务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（四）推动农业机械更新提效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结合农业生产需要和农业机械化发展水平，聚焦拖拉机、联合收割机、水稻插秧机（抛秧机）、喷杆喷雾机等重点农业机械，持续实施好农业机械报废更新补贴政策，加大老旧农业机械淘汰力度，加快农业机械结构调整，每年报废更新2000台左右老旧农业机械。推进主要农作物耕种收综合机械化，大力推广应用适应山地的绿色高效农业机械装备，推进农业机械装备集成配套，到2027年主要农作物耕种收综合机械化率达到58%。深化北斗系统在农业生产中的应用，提升农业机械装备作业质效。深入实施优质粮食工程“六大提升行动”，推进粮食生产、储备、加工等设施设备升级改造。（责任单位：省农业农村厅、省粮食和储备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（五）推动教学设备更新提级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深入实施整体提升教育水平攻坚行动计划，率先推动省属高校、职业院校（含技工院校）更新置换先进教学及科研技术设备。推进教学、科研、实训场所设施设备数字化、智能化转型升级。（责任单位：省教育厅、省人力资源社会保障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（六）推动文旅设备更新提能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围绕打造世界级旅游目的地，深入实施旅游产业化“四大行动”，以“黄小西吃晚饭”（黄果树瀑布、荔波小七孔、西江千户苗寨、赤水丹霞、兴义万峰林、铜仁梵净山）等一批优质景区提档升级为重点，推进索道缆车、轨道滑道、游乐设备、演艺设备、广播设备、影视设备、出版印刷设备等文旅设备更新提升，推动星级饭店升级改造，加快文旅公共服务场所设施智慧化升级，推进旅游场景化创新，盘活闲置低效旅游项目。（责任单位：省文化和旅游厅、省广播电视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（七）推动医疗卫生设备更新提档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加强优质高效医疗卫生服务体系建设，做强省级龙头医院，推动医疗机构根据自身功能定位、技术水平、学科发展需求和群众健康需求，合理配置先进适用医疗设备。推进医疗卫生机构装备和信息化设施迭代升级，鼓励具备条件的医疗机构加快医学影像、放射治疗、远程诊疗、手术机器人等医疗装备更新改造，持续降低万元以上医疗设备和信息化设施设备老旧化率。推动医疗机构病房适老化、智能化提升改造，适当保留一定比例单人间病房，提高两人间、三人间病房比例，促进病房环境改善提升。（责任单位：省卫生健康委）</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三、实施消费品以旧换新行动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（八）开展汽车以旧换新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采取政府补贴、企业适当让利等方式，开展汽车报废更新、置换更新活动，鼓励汽车更新消费。引导金融机构对符合条件的自用汽车贷款给予“零首付”和适当下调贷款利率、延长还款期限等优惠，加大汽车消费信贷支持。严格执行机动车强制报废标准和车辆安全环保检验标准，依法依规淘汰符合强制报废标准的老旧汽车。加强汽车使用全生命周期管理。（责任单位：省商务厅、省公安厅、中国人民银行贵州省分行、国家金融监督管理总局贵州监管局、省工业和信息化厅、省生态环境厅、省交通运输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（九）开展家电以旧换新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开展“多彩贵州欢乐购”家电以旧换新促销活动，综合运用政府补贴、企业市场化促销等方式，鼓励家电更新消费。搭建家电以旧换新“购、送、拆、收”全链条数字化平台。鼓励“一码贵州”“多彩宝”发挥平台优势，配套开展家电以旧换新系列活动。鼓励家电销售企业联合生产企业、回收企业开展以旧换新促销活动，开设线上线下家电以旧换新专区。加快实施家电售后服务提升行动，推动家电售后服务专业化、标准化、便利化。（责任单位：省商务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（十）开展家装消费品换新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鼓励家装企业让利，推动居民开展旧房装修、局部升级改造等，促进居住社区品质提升。持续推进居家适老化改造，推广普及《城市居家适老化改造指导手册》，为有居家适老化改造需求的群体提供系统、简单、可行的改造方案和技术路径。引导企业提供更多高品质、个性化、定制化家装产品，积极培育智能家居等新型消费。（责任单位：省商务厅、省住房城乡建设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四、实施回收循环利用行动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（十一）完善废旧产品设备回收体系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创新推广“回收+换新”“互联网+回收”等新型回收模式，支持耐用消费品生产、销售企业建设逆向物流体系或与专业回收企业合作，上门回收废旧消费品。完善废旧物资交投点、中转站、分拣中心三级回收体系，到2027年新增标准化规范化回收站点200个、集中分拣处理中心10个。鼓励引导回收企业在乡、村两级建立农业机械集中回收点。推广上门取车服务模式。推动“以车代库”流动回收。鼓励公共机构对经维修可继续使用的办公设备、办公家具，以借用、调拨、出租等方式循环使用。鼓励企业通过产权交易机构线上平台处置废旧设备产品、开展更新采购。（责任单位：省商务厅、省供销社、省工业和信息化厅、省机关事务局、省国资委）</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（十二）建立二手商品流通交易体系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持续优化二手车交易登记管理，促进便利交易。推广贵阳市二手车出口试点经验，发展二手车出口业务。加强二手车交易诚信体系建设，到2027年培育省级二手车交易示范企业15家。支持电子产品生产企业发展二手交易、翻新维修等业务。规范二手电子产品交易，防范泄露及恶意恢复用户信息。健全废旧家电二手流通价值价格和质量安全评估机制。推动电商企业建设二手商品交易平台，鼓励开展电子产品、家电、服装、家具、书籍等闲置物品交易。（责任单位：省商务厅、省公安厅、省市场监管局、省工业和信息化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（十三）提高设备再制造和梯次利用水平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推进汽车零部件、工程机械、机床、风电光伏、航空等领域设备再制造，推进退役飞机拆解和零部件维修翻新。加快风电光伏、动力电池等产品设备残余寿命评估技术研发，有序推进产品设备及关键部件梯次利用。（责任单位：省工业和信息化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（十四）提升再生资源综合利用水平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持续推进贵阳市、毕节市国家废旧物资循环利用试点城市建设，加快培育龙头企业，推动报废汽车、废家电、废弃电子产品、废钢铁、废有色金属、报废农业机械、废塑料等再生资源加工利用企业集聚化、规模化发展，到2027年累计回收利用报废机动车30万辆、废家电500万台。依托新能源电池及材料产业“一核两区”，大力发展电池回收梯次利用产业，加强锂、铝、磷、稀贵金属等战略性资源的回收利用，到2027年新能源汽车动力电池回收利用产业产能达40万吨/年。（责任单位：省工业和信息化厅、省商务厅、省发展改革委、省供销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五、实施标准提升行动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（十五）完善标准体系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支持龙头企业、行业协会、科研机构等主导或参与制定国家标准、行业标准。对标国际国内先进水平，严格按照国家重点用能产品设备能效先进水平、节能水平和准入水平的规定，制修订一批能耗、排放、技术、安全等地方标准。聚焦酱香白酒、先进装备制造、新能源电池及材料等行业重点产品，加快制订碳足迹核算等地方标准，条件成熟后争取转化为国家标准、行业标准。加快制修订再生资源回收利用地方标准，促进废旧装备再制造。规范车辆、家电、手机、工程机械等二手商品鉴定、评估、分级等流通标准。（责任单位：省市场监管局、省工业和信息化厅、省生态环境厅、省商务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（十六）严格执行标准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严格落实能耗、排放、安全等强制性标准，严格执行汽车、家电等大宗消费品产品技术标准及绿色设计、再生资源回收等标准，加强监管执法，推动产品设备高端化、智能化、绿色化。（责任单位：省市场监管局、省工业和信息化厅、省能源局、省生态环境厅、省商务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（十七）加强检测监管能力建设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更新完善检验、检测、监测、监管、认证等设施设备，加强专业人员业务能力培训，为标准落地提供支撑。（责任单位：省市场监管局、省工业和信息化厅、省能源局、省生态环境厅、省商务厅）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六、强化政策保障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（十八）加大财政政策支持力度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争取中央预算内投资、超长期特别国债，统筹省预算内投资、“四化”基金支持设备更新和循环利用项目。通过中央财政安排的节能减排补助资金支持符合条件的汽车以旧换新；统筹使用中央财政安排的现代商贸流通体系相关资金等，支持家电等领域耐用消费品以旧换新。持续实施好老旧营运船舶更新补贴，支持老旧船舶更新。统筹利用中央财政安排的城市交通发展奖励资金，支持新能源公交车及电池更新。用好用足农业机械报废更新补贴政策。通过中央财政设立的专项资金支持废弃电器电子产品回收处理。加大绿色产品采购力度。（责任单位：省财政厅、省发展改革委、省商务厅、省工业和信息化厅、省交通运输厅、省农业农村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（十九）落实税收支持政策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严格落实新能源汽车车辆购置税减免、购置挂车减半征收车辆购置税政策，以及节能节水、环境保护、安全生产专用设备税收优惠政策。推广资源回收企业向自然人报废产品出售者“反向开票”做法。推进再生资源回收企业增值税简易征收。（责任单位：省税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（二十）加大金融支持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用好再贷款和贷款财政贴息政策工具，引导金融机构加强对设备更新和技术改造的支持。鼓励金融机构增加制造业贷款特别是制造业中长期贷款。引导银行机构合理增加绿色信贷，加强对新能源汽车、绿色智能家电生产、服务和消费的金融支持。鼓励银行机构在依法合规、风险可控前提下，适当降低乘用车贷款首付比例，合理确定汽车贷款期限、信贷额度。（责任单位：中国人民银行贵州省分行、国家金融监督管理总局贵州监管局、省发展改革委、省工业和信息化厅、省科技厅、省交通运输厅、省农业农村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（二十一）加强要素保障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支持推动大规模设备更新项目合理的用地、用能、环境等需求，开通绿色通道，加快相关手续办理。对不新增土地、以设备更新为主的技术改造项目，实行承诺备案制，简化前期审批手续。（责任单位：省自然资源厅、省发展改革委、省生态环境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（二十二）强化创新支撑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深入实施六大重大科技战略行动和向科技要产能专项行动，采用“揭榜挂帅”“赛马”和委托定向等组织模式，加快在先进装备制造、大数据电子信息、现代能源、资源循环利用等产业核心技术方面实现突破。支持企业联合高校、科研院所建立创新联合体，开展关键核心技术联合攻关。建立贵州技术交易市场，推动更多科技成果落地贵州。（责任单位：省科技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七、强化组织实施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（二十三）压实工作责任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省发展改革委要会同省有关部门建立厅际联席会议机制，强化统筹协调，牵头推进相关工作，重大事项及时报告省委、省政府。省有关部门要分工负责，按照国家部署，制定工业、建筑和市政、交通、教育、文旅、医疗、应急安全等领域设备更新实施方案和消费品以旧换新实施方案，形成我省“1+N”政策体系，项目化、清单化推动各项任务落实。各市（州）人民政府要建立工作机制，动态谋划储备项目，根据本地实际抓好落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（二十四）做好检查评估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省发展改革委要建立推动大规模设备更新和消费品以旧换新工作检查评估制度，定期调度省有关部门向上争取、部署安排、指导推动等工作情况以及各市（州）重点项目实施情况，总结成效、查找不足，及时推广好的经验做法、研究解决困难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（二十五）加快示范带动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以项目为重要抓手，建立设备更新和循环利用重点项目库，动态谋划储备重点项目。以工业、能源、建筑、市政、交通、农业、教育、文旅、医疗设备更新改造，淘汰落后安全生产工业技术装备，废旧产品设备循环利用，企业“上云用数赋智”等为重点，建立重点项目清单，发挥示范带动作用，推动重点行业高端化、智能化、绿色化转型升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（二十六）加强宣传引导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各地各有关部门要通过政府网站、政务新媒体、政务服务平台等及时发布推动大规模设备更新和消费品以旧换新工作相关信息，适时举行政策吹风会，介绍具体工作安排和政策举措，及时回应社会关切，使更多企业和消费者知晓优惠政策，营造推动大规模设备更新和消费品以旧换新的良好社会氛围。</w:t>
      </w:r>
    </w:p>
    <w:p>
      <w:pPr>
        <w:pStyle w:val="8"/>
        <w:keepNext w:val="0"/>
        <w:keepLines w:val="0"/>
        <w:widowControl/>
        <w:suppressLineNumbers w:val="0"/>
        <w:spacing w:before="360" w:beforeAutospacing="0" w:after="0"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 w:name="KSO_WPS_MARK_KEY" w:val="914f245b-3e4e-47a6-90e2-d6e0dc6c8145"/>
  </w:docVars>
  <w:rsids>
    <w:rsidRoot w:val="0D571D4C"/>
    <w:rsid w:val="08342A19"/>
    <w:rsid w:val="0D571D4C"/>
    <w:rsid w:val="162E7527"/>
    <w:rsid w:val="18322F86"/>
    <w:rsid w:val="19C83F1E"/>
    <w:rsid w:val="1C8D0257"/>
    <w:rsid w:val="28F94FC1"/>
    <w:rsid w:val="2C306FA6"/>
    <w:rsid w:val="3F836A3B"/>
    <w:rsid w:val="5B0854E3"/>
    <w:rsid w:val="61101C4C"/>
    <w:rsid w:val="69C05240"/>
    <w:rsid w:val="6A855988"/>
    <w:rsid w:val="77EA5AEA"/>
    <w:rsid w:val="7CA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ind w:firstLine="0" w:firstLineChars="0"/>
      <w:jc w:val="left"/>
      <w:outlineLvl w:val="0"/>
    </w:pPr>
    <w:rPr>
      <w:rFonts w:ascii="Times New Roman" w:hAnsi="Times New Roman" w:eastAsia="宋体" w:cs="Times New Roman"/>
      <w:b/>
      <w:bCs/>
      <w:kern w:val="44"/>
      <w:sz w:val="32"/>
      <w:szCs w:val="44"/>
    </w:rPr>
  </w:style>
  <w:style w:type="paragraph" w:styleId="3">
    <w:name w:val="heading 2"/>
    <w:basedOn w:val="1"/>
    <w:next w:val="1"/>
    <w:link w:val="15"/>
    <w:semiHidden/>
    <w:unhideWhenUsed/>
    <w:qFormat/>
    <w:uiPriority w:val="0"/>
    <w:pPr>
      <w:keepNext/>
      <w:keepLines/>
      <w:adjustRightInd w:val="0"/>
      <w:spacing w:before="260" w:beforeLines="0" w:after="260" w:afterLines="0" w:line="240" w:lineRule="auto"/>
      <w:ind w:firstLine="0" w:firstLineChars="0"/>
      <w:jc w:val="left"/>
      <w:textAlignment w:val="baseline"/>
      <w:outlineLvl w:val="1"/>
    </w:pPr>
    <w:rPr>
      <w:rFonts w:ascii="Arial" w:hAnsi="Arial" w:eastAsia="宋体" w:cs="Times New Roman"/>
      <w:b/>
      <w:kern w:val="0"/>
      <w:sz w:val="28"/>
    </w:rPr>
  </w:style>
  <w:style w:type="paragraph" w:styleId="4">
    <w:name w:val="heading 3"/>
    <w:basedOn w:val="5"/>
    <w:next w:val="1"/>
    <w:link w:val="16"/>
    <w:semiHidden/>
    <w:unhideWhenUsed/>
    <w:qFormat/>
    <w:uiPriority w:val="0"/>
    <w:pPr>
      <w:keepNext/>
      <w:keepLines/>
      <w:spacing w:before="260" w:beforeLines="0" w:after="260" w:afterLines="0" w:line="240" w:lineRule="auto"/>
      <w:jc w:val="left"/>
      <w:outlineLvl w:val="2"/>
    </w:pPr>
    <w:rPr>
      <w:rFonts w:ascii="Times New Roman" w:hAnsi="Times New Roman" w:eastAsia="宋体" w:cs="Times New Roman"/>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仿宋" w:cs="Times New Roman"/>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仿宋" w:cs="Times New Roman"/>
      <w:sz w:val="21"/>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样式1"/>
    <w:basedOn w:val="4"/>
    <w:next w:val="1"/>
    <w:uiPriority w:val="0"/>
    <w:pPr>
      <w:spacing w:line="240" w:lineRule="auto"/>
      <w:jc w:val="left"/>
    </w:pPr>
    <w:rPr>
      <w:rFonts w:ascii="Times New Roman" w:hAnsi="Times New Roman" w:eastAsia="宋体" w:cs="Times New Roman"/>
      <w:szCs w:val="32"/>
    </w:rPr>
  </w:style>
  <w:style w:type="paragraph" w:customStyle="1" w:styleId="13">
    <w:name w:val="样式2"/>
    <w:basedOn w:val="4"/>
    <w:next w:val="1"/>
    <w:uiPriority w:val="0"/>
    <w:pPr>
      <w:spacing w:line="240" w:lineRule="auto"/>
      <w:jc w:val="left"/>
    </w:pPr>
    <w:rPr>
      <w:rFonts w:ascii="Times New Roman" w:hAnsi="Times New Roman" w:eastAsia="宋体" w:cs="Times New Roman"/>
      <w:sz w:val="30"/>
      <w:szCs w:val="32"/>
    </w:rPr>
  </w:style>
  <w:style w:type="paragraph" w:customStyle="1" w:styleId="14">
    <w:name w:val="样式3"/>
    <w:basedOn w:val="4"/>
    <w:next w:val="1"/>
    <w:uiPriority w:val="0"/>
    <w:pPr>
      <w:spacing w:line="240" w:lineRule="auto"/>
      <w:jc w:val="left"/>
    </w:pPr>
    <w:rPr>
      <w:rFonts w:ascii="Times New Roman" w:hAnsi="Times New Roman" w:eastAsia="宋体" w:cs="Times New Roman"/>
      <w:sz w:val="28"/>
      <w:szCs w:val="32"/>
    </w:rPr>
  </w:style>
  <w:style w:type="character" w:customStyle="1" w:styleId="15">
    <w:name w:val="标题 2 Char"/>
    <w:link w:val="3"/>
    <w:uiPriority w:val="0"/>
    <w:rPr>
      <w:rFonts w:ascii="Arial" w:hAnsi="Arial" w:eastAsia="宋体" w:cs="Times New Roman"/>
      <w:b/>
      <w:kern w:val="0"/>
      <w:sz w:val="28"/>
    </w:rPr>
  </w:style>
  <w:style w:type="character" w:customStyle="1" w:styleId="16">
    <w:name w:val="标题 3 Char"/>
    <w:basedOn w:val="10"/>
    <w:link w:val="4"/>
    <w:uiPriority w:val="9"/>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2024-05-08T08:17:00Z</dcterms:created>
  <dc:creator>蝶恋花</dc:creator>
  <cp:lastModifiedBy>蝶恋花</cp:lastModifiedBy>
  <dcterms:modified xsi:type="dcterms:W3CDTF">2024-05-08T08:18:46Z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C3EDFED435EB4777826825FE63E74BB5_11</vt:lpwstr>
  </property>
</Properties>
</file>