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center"/>
        <w:textAlignment w:val="auto"/>
        <w:rPr>
          <w:rFonts w:hint="eastAsia" w:ascii="宋体" w:hAnsi="宋体" w:eastAsia="宋体" w:cs="宋体"/>
          <w:i w:val="0"/>
          <w:iCs w:val="0"/>
          <w:caps w:val="0"/>
          <w:color w:val="000000"/>
          <w:spacing w:val="0"/>
          <w:sz w:val="28"/>
          <w:szCs w:val="28"/>
        </w:rPr>
      </w:pPr>
      <w:bookmarkStart w:id="0" w:name="_GoBack"/>
      <w:r>
        <w:rPr>
          <w:rStyle w:val="11"/>
          <w:rFonts w:hint="eastAsia" w:ascii="宋体" w:hAnsi="宋体" w:eastAsia="宋体" w:cs="宋体"/>
          <w:b/>
          <w:bCs/>
          <w:i w:val="0"/>
          <w:iCs w:val="0"/>
          <w:caps w:val="0"/>
          <w:color w:val="000000"/>
          <w:spacing w:val="0"/>
          <w:sz w:val="28"/>
          <w:szCs w:val="28"/>
        </w:rPr>
        <w:t>湖南省工业和信息化领域大规模设备更新实施方案</w:t>
      </w:r>
    </w:p>
    <w:bookmarkEnd w:id="0"/>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深入贯彻落实习近平总书记考察湖南重要讲话和重要指示精神，落实党中央、国务院和省委、省政府关于推动新一轮大规模设备更新决策部署，充分发挥工业主战场主阵地作用，推动全省工业和信息化领域抢抓机遇实现提质升级，加快发展新质生产力，推进新型工业化，着力打造国家重要先进制造业高地，制定本方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11"/>
          <w:rFonts w:hint="eastAsia" w:ascii="宋体" w:hAnsi="宋体" w:eastAsia="宋体" w:cs="宋体"/>
          <w:b/>
          <w:bCs/>
          <w:i w:val="0"/>
          <w:iCs w:val="0"/>
          <w:caps w:val="0"/>
          <w:color w:val="000000"/>
          <w:spacing w:val="0"/>
          <w:sz w:val="24"/>
          <w:szCs w:val="24"/>
        </w:rPr>
        <w:t>一、总体要求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以习近平新时代中国特色社会主义思想为指导，深入贯彻党的二十大精神，贯彻落实中央经济工作会议和国务院政府工作报告战略部署，落实省委、省政府部署要求，聚焦工业和信息化领域提质增效，全力融入国内大循环、国内国际双循环，推动先进制造业比重持续提升，推动制造业高端化、智能化、绿色化发展，为经济社会发展和老百姓生活消费提供更多优质产品，为提高经济发展质量和水平作出新贡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——坚持市场为主、政府引导，遵循市场规律，打好政策组合拳，激发最大乘数效应。</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——坚持鼓励先进、淘汰落后，加快淘汰落后产品设备，提升安全可靠水平，促进产业高端化、智能化、绿色化发展。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——坚持标准引领、有序提升，对标国际国内先进水平，强化</w:t>
      </w:r>
      <w:r>
        <w:rPr>
          <w:rFonts w:hint="eastAsia" w:ascii="宋体" w:hAnsi="宋体" w:eastAsia="宋体" w:cs="宋体"/>
          <w:i w:val="0"/>
          <w:iCs w:val="0"/>
          <w:caps w:val="0"/>
          <w:color w:val="1565C0"/>
          <w:spacing w:val="0"/>
          <w:sz w:val="24"/>
          <w:szCs w:val="24"/>
          <w:u w:val="none"/>
        </w:rPr>
        <w:fldChar w:fldCharType="begin"/>
      </w:r>
      <w:r>
        <w:rPr>
          <w:rFonts w:hint="eastAsia" w:ascii="宋体" w:hAnsi="宋体" w:eastAsia="宋体" w:cs="宋体"/>
          <w:i w:val="0"/>
          <w:iCs w:val="0"/>
          <w:caps w:val="0"/>
          <w:color w:val="1565C0"/>
          <w:spacing w:val="0"/>
          <w:sz w:val="24"/>
          <w:szCs w:val="24"/>
          <w:u w:val="none"/>
        </w:rPr>
        <w:instrText xml:space="preserve"> HYPERLINK "https://huanbao.bjx.com.cn/topics/jienengjiangtan/" \t "https://huanbao.bjx.com.cn/news/20240428/_blank" </w:instrText>
      </w:r>
      <w:r>
        <w:rPr>
          <w:rFonts w:hint="eastAsia" w:ascii="宋体" w:hAnsi="宋体" w:eastAsia="宋体" w:cs="宋体"/>
          <w:i w:val="0"/>
          <w:iCs w:val="0"/>
          <w:caps w:val="0"/>
          <w:color w:val="1565C0"/>
          <w:spacing w:val="0"/>
          <w:sz w:val="24"/>
          <w:szCs w:val="24"/>
          <w:u w:val="none"/>
        </w:rPr>
        <w:fldChar w:fldCharType="separate"/>
      </w:r>
      <w:r>
        <w:rPr>
          <w:rStyle w:val="12"/>
          <w:rFonts w:hint="eastAsia" w:ascii="宋体" w:hAnsi="宋体" w:eastAsia="宋体" w:cs="宋体"/>
          <w:i w:val="0"/>
          <w:iCs w:val="0"/>
          <w:caps w:val="0"/>
          <w:color w:val="1565C0"/>
          <w:spacing w:val="0"/>
          <w:sz w:val="24"/>
          <w:szCs w:val="24"/>
          <w:u w:val="none"/>
        </w:rPr>
        <w:t>节能降碳</w:t>
      </w:r>
      <w:r>
        <w:rPr>
          <w:rFonts w:hint="eastAsia" w:ascii="宋体" w:hAnsi="宋体" w:eastAsia="宋体" w:cs="宋体"/>
          <w:i w:val="0"/>
          <w:iCs w:val="0"/>
          <w:caps w:val="0"/>
          <w:color w:val="1565C0"/>
          <w:spacing w:val="0"/>
          <w:sz w:val="24"/>
          <w:szCs w:val="24"/>
          <w:u w:val="none"/>
        </w:rPr>
        <w:fldChar w:fldCharType="end"/>
      </w:r>
      <w:r>
        <w:rPr>
          <w:rFonts w:hint="eastAsia" w:ascii="宋体" w:hAnsi="宋体" w:eastAsia="宋体" w:cs="宋体"/>
          <w:i w:val="0"/>
          <w:iCs w:val="0"/>
          <w:caps w:val="0"/>
          <w:color w:val="000000"/>
          <w:spacing w:val="0"/>
          <w:sz w:val="24"/>
          <w:szCs w:val="24"/>
        </w:rPr>
        <w:t>、环保、安全、循环利用等标准制定和贯彻实施，依法依规引导企业淘汰落后设备、使用先进设备，提高生产效率和技术水平。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到2027年，全省规模以上工业企业高端化智能化绿色化改造率达到50%以上，工业领域设备投资规模较2023年增长25%以上；规模以上工业企业数字化研发设计工具普及率、关键工序数控化率分别超过90%、75%，工业大市和重点园区规模以上工业企业数字化改造全覆盖；重点产业能效基准水平以下产能基本退出，主要用能设备能效基本达到节能水平，本质安全水平明显提升，创新产品加快推广应用，先进产能比重持续提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11"/>
          <w:rFonts w:hint="eastAsia" w:ascii="宋体" w:hAnsi="宋体" w:eastAsia="宋体" w:cs="宋体"/>
          <w:b/>
          <w:bCs/>
          <w:i w:val="0"/>
          <w:iCs w:val="0"/>
          <w:caps w:val="0"/>
          <w:color w:val="000000"/>
          <w:spacing w:val="0"/>
          <w:sz w:val="24"/>
          <w:szCs w:val="24"/>
        </w:rPr>
        <w:t>二、重点任务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实施万企扩能提质行动。围绕全面推进新型工业化，实施制造业技术改造升级工程，大力推动工业企业设备更新和技术改造，推动钢铁、有色、石化、化工、建材、食品加工、轻工、纺织等传统产业加快转型升级、提质增效，推动工程机械、轨道交通装备、中小航空发动机、新一代自主安全计算系统等优势产业集群不断延伸链条、扩大规模。加大财政资金引导力度，引导企业和社会资本投资制造业领域高端化、智能化、绿色化改造项目，每年推动2000家以上工业企业开展设备更新和技术改造，5年内推动10000家以上工业企业就地扩能提质增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实施智转数改网联行动。以“智赋万企”行动为抓手，加快制造业数字化转型、智能化升级，支持龙头骨干企业先行先试，带动产业链上下游更多配套中小企业“上云上平台”，建设一批示范项目、示范工厂和优秀场景。深入实施智能制造工程、工业互联网创新发展工程、人工智能创新工程，建设一批省级智能制造标杆企业、标杆车间，国家级智能制造示范工厂、优秀场景，广泛应用数控机床、工业机器人以及工业控制、智能物流、传感与检测等智能制造装备和工业软件，加快工业互联网建设和普及应用，培育数字经济赋智赋能新模式。抓住机遇培育壮大和谋划布局先进计算、音视频、北斗、人工智能、下一代互联网、第六代移动通信（6G）、大数据大模型等产业。发展服务型制造，鼓励和引导制造企业从以加工组装为主向“制造+服务”转型，从单纯出售产品向出售“产品+服务”转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实施节能安全改造行动。统筹推进工业领域特别是钢铁、有色、石化、化工、建材等重点行业碳达峰，加快工业用能和终端产品电气化，严格落实能耗、安全生产等强制性标准和设备淘汰目录要求，依法依规淘汰不达标设备。加快推广能效达到先进水平和节能水平的用能设备，分行业分领域实施节能降碳改造，加快重点用能行业、重点环节推广应用节能环保绿色装备。推动企业开展产品全生命周期绿色管理，推广绿色制造工艺技术，构建绿色制造体系，新增创建一批省级以上绿色工厂、绿色供应链管理示范企业。加快石化、民爆等重点行业淘汰更新安全风险隐患大的老旧装置，提升行业本质安全水平。实施“机械化换人、自动化减人”和“机器人替人”，促进先进适用安全应急装备在工业企业的广泛应用，提升企业安全生产感知、监测、预警、处置和评估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实施供给能力提升行动。引导省内工业企业聚焦设备更新重点领域合理布局产能，抢抓机遇巩固提升工程机械、轨道交通装备、中小航空发动机、新一代自主安全计算系统等优势产业集群，培育壮大新能源汽车、农业机械、数控机床、机器人、家电家装、医疗设备、资源回收利用、再制造等产业。强化创新支撑，聚焦工业“六基”领域推进国产化替代，支持企业、科研院所、计量和检验检测机构围绕中试试验和检验检测环节，更新一批先进设备，聚焦长期困扰传统产业转型升级的产业基础、重大技术装备“卡脖子”难题开展攻关，加快创新成果产业化应用。鼓励大企业构建稳定配套联合体，先试、首用中小企业创新产品，鼓励提高关键部件综合配套和基础材料、基础工艺就近配套能力，实现降本增效。围绕重点行业重点领域制修订一批节能降碳、环保、安全、循环利用等地方标准，鼓励和支持领军企业、科研院所、行业协会等积极参与相关国际、国家和行业标准制修订，引导企业对标先进标准实施设备更新和技术改造。鼓励引导企业建立高标准质量管理体系，加快推动质量追溯体系建设，提高行业品牌知名度和市场美誉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11"/>
          <w:rFonts w:hint="eastAsia" w:ascii="宋体" w:hAnsi="宋体" w:eastAsia="宋体" w:cs="宋体"/>
          <w:b/>
          <w:bCs/>
          <w:i w:val="0"/>
          <w:iCs w:val="0"/>
          <w:caps w:val="0"/>
          <w:color w:val="000000"/>
          <w:spacing w:val="0"/>
          <w:sz w:val="24"/>
          <w:szCs w:val="24"/>
        </w:rPr>
        <w:t>三、主要措施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（一）全面摸清底数。聚焦生产设备、用能设备、发输配电设备、运输设备、建筑施工设备、农业机械、教育医疗设备、电梯、供水供热供气、</w:t>
      </w:r>
      <w:r>
        <w:rPr>
          <w:rFonts w:hint="eastAsia" w:ascii="宋体" w:hAnsi="宋体" w:eastAsia="宋体" w:cs="宋体"/>
          <w:i w:val="0"/>
          <w:iCs w:val="0"/>
          <w:caps w:val="0"/>
          <w:color w:val="1565C0"/>
          <w:spacing w:val="0"/>
          <w:sz w:val="24"/>
          <w:szCs w:val="24"/>
          <w:u w:val="none"/>
        </w:rPr>
        <w:fldChar w:fldCharType="begin"/>
      </w:r>
      <w:r>
        <w:rPr>
          <w:rFonts w:hint="eastAsia" w:ascii="宋体" w:hAnsi="宋体" w:eastAsia="宋体" w:cs="宋体"/>
          <w:i w:val="0"/>
          <w:iCs w:val="0"/>
          <w:caps w:val="0"/>
          <w:color w:val="1565C0"/>
          <w:spacing w:val="0"/>
          <w:sz w:val="24"/>
          <w:szCs w:val="24"/>
          <w:u w:val="none"/>
        </w:rPr>
        <w:instrText xml:space="preserve"> HYPERLINK "https://huanbao.bjx.com.cn/topics/wushuichuli/" \t "https://huanbao.bjx.com.cn/news/20240428/_blank" </w:instrText>
      </w:r>
      <w:r>
        <w:rPr>
          <w:rFonts w:hint="eastAsia" w:ascii="宋体" w:hAnsi="宋体" w:eastAsia="宋体" w:cs="宋体"/>
          <w:i w:val="0"/>
          <w:iCs w:val="0"/>
          <w:caps w:val="0"/>
          <w:color w:val="1565C0"/>
          <w:spacing w:val="0"/>
          <w:sz w:val="24"/>
          <w:szCs w:val="24"/>
          <w:u w:val="none"/>
        </w:rPr>
        <w:fldChar w:fldCharType="separate"/>
      </w:r>
      <w:r>
        <w:rPr>
          <w:rStyle w:val="12"/>
          <w:rFonts w:hint="eastAsia" w:ascii="宋体" w:hAnsi="宋体" w:eastAsia="宋体" w:cs="宋体"/>
          <w:i w:val="0"/>
          <w:iCs w:val="0"/>
          <w:caps w:val="0"/>
          <w:color w:val="1565C0"/>
          <w:spacing w:val="0"/>
          <w:sz w:val="24"/>
          <w:szCs w:val="24"/>
          <w:u w:val="none"/>
        </w:rPr>
        <w:t>污水处理</w:t>
      </w:r>
      <w:r>
        <w:rPr>
          <w:rFonts w:hint="eastAsia" w:ascii="宋体" w:hAnsi="宋体" w:eastAsia="宋体" w:cs="宋体"/>
          <w:i w:val="0"/>
          <w:iCs w:val="0"/>
          <w:caps w:val="0"/>
          <w:color w:val="1565C0"/>
          <w:spacing w:val="0"/>
          <w:sz w:val="24"/>
          <w:szCs w:val="24"/>
          <w:u w:val="none"/>
        </w:rPr>
        <w:fldChar w:fldCharType="end"/>
      </w:r>
      <w:r>
        <w:rPr>
          <w:rFonts w:hint="eastAsia" w:ascii="宋体" w:hAnsi="宋体" w:eastAsia="宋体" w:cs="宋体"/>
          <w:i w:val="0"/>
          <w:iCs w:val="0"/>
          <w:caps w:val="0"/>
          <w:color w:val="000000"/>
          <w:spacing w:val="0"/>
          <w:sz w:val="24"/>
          <w:szCs w:val="24"/>
        </w:rPr>
        <w:t>、安防等设备更新所需的11大类设备，以及新能源汽车、家电、家装等耐用消费品以旧换新所需的相关产品，组织开展生产企业设备制造能力摸底。全面摸清我省工业和信息化领域设备更新需求和优势产业产品供给底数，建立相关清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开展供需对接。组织“百园万企”等多种形式的政策宣讲和对接活动，根据梳理掌握的全省工业和信息化领域设备需求和供给状况，结合我省装备制造、新能源、新材料、电子信息等产业发展优势和产业链供应链情况，分行业、分批次在省内外组织开展产业对接交流系列活动，推介我省优质工业产品和设备，有针对性地搭建供需对接平台，帮助解决结构性短缺和信息不对称等问题，进一步提高优势产品市场占有率。积极服务和融入全国统一大市场，利用中非经贸博览会、世界计算大会、长沙国际工程机械展、湘博会等平台，畅通供需对接渠道，支持企业开拓多元化市场，加快先进产能释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加强政策支持。用好用足国家政策，推动符合条件的设备更新、循环利用和生产项目纳入中央财政资金支持范围。落实国家税收支持政策，推动数字化智能化改造，有效降低企业投资成本。完善省级财政支持政策，提高企业实施技术改造的积极性。强化金融支持力度，引导银行机构用好用足科技创新和技术改造专项再贷款政策，加大对全省工业和信息化领域大规模设备更新的金融支持。鼓励银行业金融机构创新金融产品，及时向银行、基金推介设备更新和技术改造项目，同时发挥省级政府投资基金引导作用。适时组织开展银企对接活动，拓展设备更新和技术改造项目融资渠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强化要素保障。协调加强企业技术改造项目用地、用能等要素保障。夯实能源保供基础，盘活园区存量土地，对不新增用地、以设备更新为主的技术改造项目，简化前期审批手续。强化人才支撑，实施专业技术人才知识更新工程、“芙蓉计划”，支持卓越工程师培养（实践）基地建设，发布先进制造业急需紧缺人才目录，引进和培育高层次技术领军人才和创新创业团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11"/>
          <w:rFonts w:hint="eastAsia" w:ascii="宋体" w:hAnsi="宋体" w:eastAsia="宋体" w:cs="宋体"/>
          <w:b/>
          <w:bCs/>
          <w:i w:val="0"/>
          <w:iCs w:val="0"/>
          <w:caps w:val="0"/>
          <w:color w:val="000000"/>
          <w:spacing w:val="0"/>
          <w:sz w:val="24"/>
          <w:szCs w:val="24"/>
        </w:rPr>
        <w:t>四、组织保障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充分发挥湖南制造强省建设领导小组办公室的统筹协调作用，由省工业和信息化厅牵头，联合省直和中央在湘有关单位、各相关市州人民政府以及部分重点企业，建立联合推进机制。研究制定推进工业和信息化领域大规模设备更新的政策和工作举措，提出需要省委、省政府研究的重大事项，及时向省委、省政府报告工作进展。省工业和信息化厅成立由厅主要负责人牵头，各相关处室参与的推进工作专班，明确责任到人，负责联合推进机制的日常调度协调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jE5YzQxZTEwZmYwNTI4OGY4M2UyYjBlOTU4ZmEifQ=="/>
    <w:docVar w:name="KSO_WPS_MARK_KEY" w:val="ea9c4452-5173-4c56-a9ff-ed33e21277fb"/>
  </w:docVars>
  <w:rsids>
    <w:rsidRoot w:val="544D6FBC"/>
    <w:rsid w:val="08342A19"/>
    <w:rsid w:val="162E7527"/>
    <w:rsid w:val="18322F86"/>
    <w:rsid w:val="19C83F1E"/>
    <w:rsid w:val="1C8D0257"/>
    <w:rsid w:val="28F94FC1"/>
    <w:rsid w:val="2C306FA6"/>
    <w:rsid w:val="3F836A3B"/>
    <w:rsid w:val="544D6FBC"/>
    <w:rsid w:val="5B0854E3"/>
    <w:rsid w:val="61101C4C"/>
    <w:rsid w:val="69C05240"/>
    <w:rsid w:val="6A855988"/>
    <w:rsid w:val="77EA5AEA"/>
    <w:rsid w:val="7CAA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240" w:lineRule="auto"/>
      <w:ind w:firstLine="0" w:firstLineChars="0"/>
      <w:jc w:val="left"/>
      <w:outlineLvl w:val="0"/>
    </w:pPr>
    <w:rPr>
      <w:rFonts w:ascii="Times New Roman" w:hAnsi="Times New Roman" w:eastAsia="宋体" w:cs="Times New Roman"/>
      <w:b/>
      <w:bCs/>
      <w:kern w:val="44"/>
      <w:sz w:val="32"/>
      <w:szCs w:val="44"/>
    </w:rPr>
  </w:style>
  <w:style w:type="paragraph" w:styleId="3">
    <w:name w:val="heading 2"/>
    <w:basedOn w:val="1"/>
    <w:next w:val="1"/>
    <w:link w:val="16"/>
    <w:semiHidden/>
    <w:unhideWhenUsed/>
    <w:qFormat/>
    <w:uiPriority w:val="0"/>
    <w:pPr>
      <w:keepNext/>
      <w:keepLines/>
      <w:adjustRightInd w:val="0"/>
      <w:spacing w:before="260" w:beforeLines="0" w:after="260" w:afterLines="0" w:line="240" w:lineRule="auto"/>
      <w:ind w:firstLine="0" w:firstLineChars="0"/>
      <w:jc w:val="left"/>
      <w:textAlignment w:val="baseline"/>
      <w:outlineLvl w:val="1"/>
    </w:pPr>
    <w:rPr>
      <w:rFonts w:ascii="Arial" w:hAnsi="Arial" w:eastAsia="宋体" w:cs="Times New Roman"/>
      <w:b/>
      <w:kern w:val="0"/>
      <w:sz w:val="28"/>
    </w:rPr>
  </w:style>
  <w:style w:type="paragraph" w:styleId="4">
    <w:name w:val="heading 3"/>
    <w:basedOn w:val="5"/>
    <w:next w:val="1"/>
    <w:link w:val="17"/>
    <w:semiHidden/>
    <w:unhideWhenUsed/>
    <w:qFormat/>
    <w:uiPriority w:val="0"/>
    <w:pPr>
      <w:keepNext/>
      <w:keepLines/>
      <w:spacing w:before="260" w:beforeLines="0" w:after="260" w:afterLines="0" w:line="240" w:lineRule="auto"/>
      <w:jc w:val="left"/>
      <w:outlineLvl w:val="2"/>
    </w:pPr>
    <w:rPr>
      <w:rFonts w:ascii="Times New Roman" w:hAnsi="Times New Roman" w:eastAsia="宋体" w:cs="Times New Roman"/>
      <w:bCs/>
      <w:sz w:val="24"/>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jc w:val="left"/>
      <w:outlineLvl w:val="3"/>
    </w:pPr>
    <w:rPr>
      <w:rFonts w:ascii="Arial" w:hAnsi="Arial" w:eastAsia="仿宋" w:cs="Times New Roman"/>
      <w:sz w:val="24"/>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Times New Roman" w:hAnsi="Times New Roman" w:eastAsia="仿宋" w:cs="Times New Roman"/>
      <w:sz w:val="21"/>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 w:type="paragraph" w:customStyle="1" w:styleId="13">
    <w:name w:val="样式1"/>
    <w:basedOn w:val="4"/>
    <w:next w:val="1"/>
    <w:uiPriority w:val="0"/>
    <w:pPr>
      <w:spacing w:line="240" w:lineRule="auto"/>
      <w:jc w:val="left"/>
    </w:pPr>
    <w:rPr>
      <w:rFonts w:ascii="Times New Roman" w:hAnsi="Times New Roman" w:eastAsia="宋体" w:cs="Times New Roman"/>
      <w:szCs w:val="32"/>
    </w:rPr>
  </w:style>
  <w:style w:type="paragraph" w:customStyle="1" w:styleId="14">
    <w:name w:val="样式2"/>
    <w:basedOn w:val="4"/>
    <w:next w:val="1"/>
    <w:uiPriority w:val="0"/>
    <w:pPr>
      <w:spacing w:line="240" w:lineRule="auto"/>
      <w:jc w:val="left"/>
    </w:pPr>
    <w:rPr>
      <w:rFonts w:ascii="Times New Roman" w:hAnsi="Times New Roman" w:eastAsia="宋体" w:cs="Times New Roman"/>
      <w:sz w:val="30"/>
      <w:szCs w:val="32"/>
    </w:rPr>
  </w:style>
  <w:style w:type="paragraph" w:customStyle="1" w:styleId="15">
    <w:name w:val="样式3"/>
    <w:basedOn w:val="4"/>
    <w:next w:val="1"/>
    <w:uiPriority w:val="0"/>
    <w:pPr>
      <w:spacing w:line="240" w:lineRule="auto"/>
      <w:jc w:val="left"/>
    </w:pPr>
    <w:rPr>
      <w:rFonts w:ascii="Times New Roman" w:hAnsi="Times New Roman" w:eastAsia="宋体" w:cs="Times New Roman"/>
      <w:sz w:val="28"/>
      <w:szCs w:val="32"/>
    </w:rPr>
  </w:style>
  <w:style w:type="character" w:customStyle="1" w:styleId="16">
    <w:name w:val="标题 2 Char"/>
    <w:link w:val="3"/>
    <w:uiPriority w:val="0"/>
    <w:rPr>
      <w:rFonts w:ascii="Arial" w:hAnsi="Arial" w:eastAsia="宋体" w:cs="Times New Roman"/>
      <w:b/>
      <w:kern w:val="0"/>
      <w:sz w:val="28"/>
    </w:rPr>
  </w:style>
  <w:style w:type="character" w:customStyle="1" w:styleId="17">
    <w:name w:val="标题 3 Char"/>
    <w:basedOn w:val="10"/>
    <w:link w:val="4"/>
    <w:uiPriority w:val="9"/>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2024-05-08T08:49:00Z</dcterms:created>
  <dc:creator>蝶恋花</dc:creator>
  <cp:lastModifiedBy>蝶恋花</cp:lastModifiedBy>
  <dcterms:modified xsi:type="dcterms:W3CDTF">2024-05-08T08:50:00Z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D7230C34A3ED4065B7E7EEE53EFAF5B9_11</vt:lpwstr>
  </property>
</Properties>
</file>