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黑体_GBK" w:cs="Times New Roman"/>
          <w:kern w:val="0"/>
          <w:szCs w:val="32"/>
          <w:lang w:bidi="zh-CN"/>
        </w:rPr>
      </w:pPr>
      <w:r>
        <w:rPr>
          <w:rFonts w:hint="default" w:ascii="Times New Roman" w:hAnsi="Times New Roman" w:eastAsia="方正黑体_GBK" w:cs="Times New Roman"/>
          <w:kern w:val="0"/>
          <w:szCs w:val="32"/>
          <w:lang w:val="zh-CN" w:bidi="zh-CN"/>
        </w:rPr>
        <w:t>附件</w:t>
      </w:r>
      <w:r>
        <w:rPr>
          <w:rFonts w:hint="default" w:ascii="Times New Roman" w:hAnsi="Times New Roman" w:eastAsia="方正黑体_GBK" w:cs="Times New Roman"/>
          <w:kern w:val="0"/>
          <w:szCs w:val="32"/>
          <w:lang w:bidi="zh-CN"/>
        </w:rPr>
        <w:t>1</w:t>
      </w:r>
    </w:p>
    <w:p>
      <w:pPr>
        <w:widowControl/>
        <w:spacing w:line="560" w:lineRule="exact"/>
        <w:jc w:val="center"/>
        <w:rPr>
          <w:rFonts w:hint="default" w:ascii="Times New Roman" w:hAnsi="Times New Roman" w:eastAsia="方正小标宋_GBK" w:cs="Times New Roman"/>
          <w:kern w:val="0"/>
          <w:sz w:val="44"/>
          <w:szCs w:val="32"/>
          <w:lang w:val="zh-CN" w:bidi="zh-CN"/>
        </w:rPr>
      </w:pPr>
      <w:r>
        <w:rPr>
          <w:rFonts w:hint="default" w:ascii="Times New Roman" w:hAnsi="Times New Roman" w:eastAsia="方正小标宋_GBK" w:cs="Times New Roman"/>
          <w:kern w:val="0"/>
          <w:sz w:val="44"/>
          <w:szCs w:val="32"/>
          <w:lang w:val="zh-CN" w:bidi="zh-CN"/>
        </w:rPr>
        <w:t>2024年各市（县）、区空气质量工作目标</w:t>
      </w:r>
    </w:p>
    <w:tbl>
      <w:tblPr>
        <w:tblStyle w:val="12"/>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3760"/>
        <w:gridCol w:w="3763"/>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78" w:type="pct"/>
            <w:vAlign w:val="center"/>
          </w:tcPr>
          <w:p>
            <w:pPr>
              <w:widowControl/>
              <w:overflowPunct w:val="0"/>
              <w:spacing w:line="40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市（县）、区</w:t>
            </w:r>
          </w:p>
        </w:tc>
        <w:tc>
          <w:tcPr>
            <w:tcW w:w="1340" w:type="pct"/>
            <w:vAlign w:val="center"/>
          </w:tcPr>
          <w:p>
            <w:pPr>
              <w:widowControl/>
              <w:overflowPunct w:val="0"/>
              <w:spacing w:line="40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PM</w:t>
            </w:r>
            <w:r>
              <w:rPr>
                <w:rFonts w:hint="default" w:ascii="Times New Roman" w:hAnsi="Times New Roman" w:cs="Times New Roman"/>
                <w:b/>
                <w:bCs/>
                <w:sz w:val="21"/>
                <w:szCs w:val="21"/>
                <w:vertAlign w:val="subscript"/>
              </w:rPr>
              <w:t>2.5</w:t>
            </w:r>
            <w:r>
              <w:rPr>
                <w:rFonts w:hint="default" w:ascii="Times New Roman" w:hAnsi="Times New Roman" w:cs="Times New Roman"/>
                <w:b/>
                <w:bCs/>
                <w:sz w:val="21"/>
                <w:szCs w:val="21"/>
              </w:rPr>
              <w:t>年平均浓度（微克/立方米）</w:t>
            </w:r>
          </w:p>
        </w:tc>
        <w:tc>
          <w:tcPr>
            <w:tcW w:w="1341" w:type="pct"/>
            <w:vAlign w:val="center"/>
          </w:tcPr>
          <w:p>
            <w:pPr>
              <w:widowControl/>
              <w:overflowPunct w:val="0"/>
              <w:spacing w:line="40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优良天数比率（%）</w:t>
            </w:r>
          </w:p>
        </w:tc>
        <w:tc>
          <w:tcPr>
            <w:tcW w:w="1341" w:type="pct"/>
            <w:vAlign w:val="center"/>
          </w:tcPr>
          <w:p>
            <w:pPr>
              <w:widowControl/>
              <w:overflowPunct w:val="0"/>
              <w:spacing w:line="400" w:lineRule="exact"/>
              <w:jc w:val="center"/>
              <w:rPr>
                <w:rFonts w:hint="default" w:ascii="Times New Roman" w:hAnsi="Times New Roman" w:cs="Times New Roman"/>
                <w:b/>
                <w:bCs/>
                <w:sz w:val="21"/>
                <w:szCs w:val="21"/>
              </w:rPr>
            </w:pPr>
            <w:r>
              <w:rPr>
                <w:rFonts w:hint="default" w:ascii="Times New Roman" w:hAnsi="Times New Roman" w:cs="Times New Roman"/>
                <w:b/>
                <w:bCs/>
                <w:sz w:val="21"/>
                <w:szCs w:val="21"/>
              </w:rPr>
              <w:t>降尘量（吨/月·平方千米）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江阴市</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31左右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80.3%</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宜兴市</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28左右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81.1%</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梁溪区</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28左右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80.3%</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锡山区</w:t>
            </w:r>
          </w:p>
        </w:tc>
        <w:tc>
          <w:tcPr>
            <w:tcW w:w="1340" w:type="pct"/>
          </w:tcPr>
          <w:p>
            <w:pPr>
              <w:widowControl/>
              <w:jc w:val="center"/>
              <w:rPr>
                <w:rFonts w:hint="default" w:ascii="Times New Roman" w:hAnsi="Times New Roman" w:cs="Times New Roman"/>
                <w:sz w:val="22"/>
              </w:rPr>
            </w:pPr>
            <w:r>
              <w:rPr>
                <w:rFonts w:hint="eastAsia" w:cs="Times New Roman"/>
                <w:sz w:val="22"/>
                <w:lang w:val="en-US" w:eastAsia="zh-CN"/>
              </w:rPr>
              <w:t>30</w:t>
            </w:r>
            <w:r>
              <w:rPr>
                <w:rFonts w:hint="default" w:ascii="Times New Roman" w:hAnsi="Times New Roman" w:cs="Times New Roman"/>
                <w:sz w:val="22"/>
              </w:rPr>
              <w:t>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79.5%</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惠山区</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w:t>
            </w:r>
            <w:r>
              <w:rPr>
                <w:rFonts w:hint="eastAsia" w:cs="Times New Roman"/>
                <w:sz w:val="22"/>
                <w:lang w:val="en-US" w:eastAsia="zh-CN"/>
              </w:rPr>
              <w:t>8</w:t>
            </w:r>
            <w:r>
              <w:rPr>
                <w:rFonts w:hint="default" w:ascii="Times New Roman" w:hAnsi="Times New Roman" w:cs="Times New Roman"/>
                <w:sz w:val="22"/>
              </w:rPr>
              <w:t>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81.4%</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滨湖区</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w:t>
            </w:r>
            <w:r>
              <w:rPr>
                <w:rFonts w:hint="eastAsia" w:cs="Times New Roman"/>
                <w:sz w:val="22"/>
                <w:lang w:val="en-US" w:eastAsia="zh-CN"/>
              </w:rPr>
              <w:t>7</w:t>
            </w:r>
            <w:r>
              <w:rPr>
                <w:rFonts w:hint="default" w:ascii="Times New Roman" w:hAnsi="Times New Roman" w:cs="Times New Roman"/>
                <w:sz w:val="22"/>
              </w:rPr>
              <w:t>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81.1%</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新吴区</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28左右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79.8%</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经开区</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29左右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78.7%</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8" w:type="pct"/>
            <w:vAlign w:val="center"/>
          </w:tcPr>
          <w:p>
            <w:pPr>
              <w:widowControl/>
              <w:overflowPunct w:val="0"/>
              <w:jc w:val="center"/>
              <w:rPr>
                <w:rFonts w:hint="default" w:ascii="Times New Roman" w:hAnsi="Times New Roman" w:cs="Times New Roman"/>
                <w:b/>
                <w:sz w:val="21"/>
                <w:szCs w:val="21"/>
              </w:rPr>
            </w:pPr>
            <w:r>
              <w:rPr>
                <w:rFonts w:hint="default" w:ascii="Times New Roman" w:hAnsi="Times New Roman" w:cs="Times New Roman"/>
                <w:b/>
                <w:sz w:val="21"/>
                <w:szCs w:val="21"/>
              </w:rPr>
              <w:t>无锡市</w:t>
            </w:r>
          </w:p>
        </w:tc>
        <w:tc>
          <w:tcPr>
            <w:tcW w:w="1340" w:type="pct"/>
          </w:tcPr>
          <w:p>
            <w:pPr>
              <w:widowControl/>
              <w:jc w:val="center"/>
              <w:rPr>
                <w:rFonts w:hint="default" w:ascii="Times New Roman" w:hAnsi="Times New Roman" w:cs="Times New Roman"/>
                <w:sz w:val="22"/>
              </w:rPr>
            </w:pPr>
            <w:r>
              <w:rPr>
                <w:rFonts w:hint="default" w:ascii="Times New Roman" w:hAnsi="Times New Roman" w:cs="Times New Roman"/>
                <w:sz w:val="22"/>
              </w:rPr>
              <w:t>28左右</w:t>
            </w:r>
          </w:p>
        </w:tc>
        <w:tc>
          <w:tcPr>
            <w:tcW w:w="1341" w:type="pct"/>
          </w:tcPr>
          <w:p>
            <w:pPr>
              <w:jc w:val="center"/>
              <w:rPr>
                <w:rFonts w:hint="default" w:ascii="Times New Roman" w:hAnsi="Times New Roman" w:cs="Times New Roman"/>
                <w:sz w:val="21"/>
                <w:szCs w:val="21"/>
              </w:rPr>
            </w:pPr>
            <w:r>
              <w:rPr>
                <w:rFonts w:hint="default" w:ascii="Times New Roman" w:hAnsi="Times New Roman" w:cs="Times New Roman"/>
                <w:sz w:val="21"/>
                <w:szCs w:val="21"/>
              </w:rPr>
              <w:t>81.2%</w:t>
            </w:r>
            <w:r>
              <w:rPr>
                <w:rFonts w:hint="default" w:ascii="Times New Roman" w:hAnsi="Times New Roman" w:cs="Times New Roman"/>
                <w:sz w:val="22"/>
              </w:rPr>
              <w:t>左右</w:t>
            </w:r>
          </w:p>
        </w:tc>
        <w:tc>
          <w:tcPr>
            <w:tcW w:w="1341" w:type="pct"/>
          </w:tcPr>
          <w:p>
            <w:pPr>
              <w:widowControl/>
              <w:jc w:val="center"/>
              <w:rPr>
                <w:rFonts w:hint="default" w:ascii="Times New Roman" w:hAnsi="Times New Roman" w:cs="Times New Roman"/>
                <w:sz w:val="22"/>
              </w:rPr>
            </w:pPr>
            <w:r>
              <w:rPr>
                <w:rFonts w:hint="default" w:ascii="Times New Roman" w:hAnsi="Times New Roman" w:cs="Times New Roman"/>
                <w:sz w:val="22"/>
              </w:rPr>
              <w:t>2.4</w:t>
            </w:r>
          </w:p>
        </w:tc>
      </w:tr>
    </w:tbl>
    <w:p>
      <w:pPr>
        <w:widowControl/>
        <w:jc w:val="left"/>
        <w:rPr>
          <w:rFonts w:hint="default" w:ascii="Times New Roman" w:hAnsi="Times New Roman" w:eastAsia="方正黑体_GBK" w:cs="Times New Roman"/>
          <w:kern w:val="0"/>
          <w:szCs w:val="32"/>
          <w:lang w:val="zh-CN" w:bidi="zh-CN"/>
        </w:rPr>
      </w:pPr>
      <w:r>
        <w:rPr>
          <w:rFonts w:hint="default" w:ascii="Times New Roman" w:hAnsi="Times New Roman" w:eastAsia="方正黑体_GBK" w:cs="Times New Roman"/>
          <w:kern w:val="0"/>
          <w:szCs w:val="32"/>
          <w:lang w:val="zh-CN" w:bidi="zh-CN"/>
        </w:rPr>
        <w:t>附件2</w:t>
      </w:r>
    </w:p>
    <w:p>
      <w:pPr>
        <w:widowControl/>
        <w:spacing w:line="560" w:lineRule="exact"/>
        <w:jc w:val="center"/>
        <w:rPr>
          <w:rFonts w:hint="default" w:ascii="Times New Roman" w:hAnsi="Times New Roman" w:eastAsia="方正小标宋_GBK" w:cs="Times New Roman"/>
          <w:kern w:val="0"/>
          <w:sz w:val="44"/>
          <w:szCs w:val="32"/>
          <w:lang w:val="zh-CN" w:bidi="zh-CN"/>
        </w:rPr>
      </w:pPr>
      <w:r>
        <w:rPr>
          <w:rFonts w:hint="default" w:ascii="Times New Roman" w:hAnsi="Times New Roman" w:eastAsia="方正小标宋_GBK" w:cs="Times New Roman"/>
          <w:kern w:val="0"/>
          <w:sz w:val="44"/>
          <w:szCs w:val="32"/>
          <w:lang w:val="zh-CN" w:bidi="zh-CN"/>
        </w:rPr>
        <w:t>2024年大气污染防治工程项目</w:t>
      </w:r>
    </w:p>
    <w:tbl>
      <w:tblPr>
        <w:tblStyle w:val="11"/>
        <w:tblW w:w="0" w:type="auto"/>
        <w:tblInd w:w="0" w:type="dxa"/>
        <w:tblLayout w:type="fixed"/>
        <w:tblCellMar>
          <w:top w:w="0" w:type="dxa"/>
          <w:left w:w="108" w:type="dxa"/>
          <w:bottom w:w="0" w:type="dxa"/>
          <w:right w:w="108" w:type="dxa"/>
        </w:tblCellMar>
      </w:tblPr>
      <w:tblGrid>
        <w:gridCol w:w="887"/>
        <w:gridCol w:w="1518"/>
        <w:gridCol w:w="2139"/>
        <w:gridCol w:w="2097"/>
        <w:gridCol w:w="1718"/>
        <w:gridCol w:w="1559"/>
        <w:gridCol w:w="1984"/>
        <w:gridCol w:w="851"/>
        <w:gridCol w:w="1013"/>
      </w:tblGrid>
      <w:tr>
        <w:tblPrEx>
          <w:tblCellMar>
            <w:top w:w="0" w:type="dxa"/>
            <w:left w:w="108" w:type="dxa"/>
            <w:bottom w:w="0" w:type="dxa"/>
            <w:right w:w="108" w:type="dxa"/>
          </w:tblCellMar>
        </w:tblPrEx>
        <w:trPr>
          <w:trHeight w:val="163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市（县）区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水泥行业深度治理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重点行业国有企业深度治理</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煤电机组全负荷深度脱硝</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储罐VOCs废气治理或“回头看”</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大气绿岛项目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全电工地项目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铸造行业新一轮提标整治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化工园区企业提标整治工程</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江阴市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455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27</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宜兴市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67</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19</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梁溪区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kern w:val="0"/>
                <w:sz w:val="21"/>
                <w:szCs w:val="21"/>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锡山区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141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惠山区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176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滨湖区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新吴区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经开区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color w:val="000000"/>
                <w:kern w:val="0"/>
                <w:sz w:val="21"/>
                <w:szCs w:val="21"/>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无锡市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211</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1022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29</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657</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53</w:t>
            </w:r>
          </w:p>
        </w:tc>
      </w:tr>
      <w:tr>
        <w:tblPrEx>
          <w:tblCellMar>
            <w:top w:w="0" w:type="dxa"/>
            <w:left w:w="108" w:type="dxa"/>
            <w:bottom w:w="0" w:type="dxa"/>
            <w:right w:w="108" w:type="dxa"/>
          </w:tblCellMar>
        </w:tblPrEx>
        <w:trPr>
          <w:trHeight w:val="1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市（县）区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涉活性炭治理设施企业闭环管理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涉燃烧法企业闭环管理</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涉喷漆汽修行业全水性源头替代</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生物质锅炉提标整治或“回头看”</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低效治理设施整治“回头看”</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玻璃行业大气污染综合治理</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江阴市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10 </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288</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24</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1500</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宜兴市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29</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10 </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666</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梁溪区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全覆盖</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43</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锡山区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57</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全覆盖</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582</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惠山区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32</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4 </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525</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滨湖区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11</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4 </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99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252</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新吴区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205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68</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全覆盖</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139</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535</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经开区</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全覆盖</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44</w:t>
            </w:r>
          </w:p>
        </w:tc>
      </w:tr>
      <w:tr>
        <w:tblPrEx>
          <w:tblCellMar>
            <w:top w:w="0" w:type="dxa"/>
            <w:left w:w="108" w:type="dxa"/>
            <w:bottom w:w="0" w:type="dxa"/>
            <w:right w:w="108" w:type="dxa"/>
          </w:tblCellMar>
        </w:tblPrEx>
        <w:trPr>
          <w:trHeight w:val="48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无锡市</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1000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300</w:t>
            </w:r>
          </w:p>
        </w:tc>
        <w:tc>
          <w:tcPr>
            <w:tcW w:w="2097"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28</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744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41</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4147</w:t>
            </w:r>
          </w:p>
        </w:tc>
      </w:tr>
    </w:tbl>
    <w:p>
      <w:pPr>
        <w:pStyle w:val="5"/>
        <w:ind w:firstLine="480"/>
        <w:rPr>
          <w:rFonts w:hint="default" w:ascii="Times New Roman" w:hAnsi="Times New Roman" w:cs="Times New Roman"/>
          <w:sz w:val="24"/>
        </w:rPr>
      </w:pPr>
      <w:r>
        <w:rPr>
          <w:rFonts w:hint="default" w:ascii="Times New Roman" w:hAnsi="Times New Roman" w:cs="Times New Roman"/>
          <w:sz w:val="24"/>
        </w:rPr>
        <w:t>注：2024年无锡市大气污染防治工程首季项目清单于2024年1月下达，任务内容包含在本表内，清单另行下发。</w:t>
      </w:r>
      <w:r>
        <w:rPr>
          <w:rFonts w:hint="default" w:ascii="Times New Roman" w:hAnsi="Times New Roman" w:cs="Times New Roman"/>
          <w:sz w:val="24"/>
        </w:rPr>
        <w:br w:type="page"/>
      </w:r>
    </w:p>
    <w:p>
      <w:pPr>
        <w:widowControl/>
        <w:jc w:val="left"/>
        <w:rPr>
          <w:rFonts w:hint="default" w:ascii="Times New Roman" w:hAnsi="Times New Roman" w:eastAsia="方正黑体_GBK" w:cs="Times New Roman"/>
          <w:kern w:val="0"/>
          <w:szCs w:val="32"/>
          <w:lang w:val="zh-CN" w:bidi="zh-CN"/>
        </w:rPr>
      </w:pPr>
      <w:r>
        <w:rPr>
          <w:rFonts w:hint="default" w:ascii="Times New Roman" w:hAnsi="Times New Roman" w:eastAsia="方正黑体_GBK" w:cs="Times New Roman"/>
          <w:kern w:val="0"/>
          <w:szCs w:val="32"/>
          <w:lang w:val="zh-CN" w:bidi="zh-CN"/>
        </w:rPr>
        <w:t>附件3</w:t>
      </w:r>
    </w:p>
    <w:p>
      <w:pPr>
        <w:widowControl/>
        <w:spacing w:line="560" w:lineRule="exact"/>
        <w:jc w:val="center"/>
        <w:rPr>
          <w:rFonts w:hint="default" w:ascii="Times New Roman" w:hAnsi="Times New Roman" w:eastAsia="方正小标宋_GBK" w:cs="Times New Roman"/>
          <w:kern w:val="0"/>
          <w:sz w:val="44"/>
          <w:szCs w:val="32"/>
          <w:lang w:val="zh-CN" w:bidi="zh-CN"/>
        </w:rPr>
      </w:pPr>
      <w:r>
        <w:rPr>
          <w:rFonts w:hint="default" w:ascii="Times New Roman" w:hAnsi="Times New Roman" w:eastAsia="方正小标宋_GBK" w:cs="Times New Roman"/>
          <w:kern w:val="0"/>
          <w:sz w:val="44"/>
          <w:szCs w:val="32"/>
          <w:lang w:val="zh-CN" w:bidi="zh-CN"/>
        </w:rPr>
        <w:t>2024年工业园区限值限量大气考核目标（年均值）</w:t>
      </w:r>
    </w:p>
    <w:tbl>
      <w:tblPr>
        <w:tblStyle w:val="11"/>
        <w:tblW w:w="5000" w:type="pct"/>
        <w:tblInd w:w="0" w:type="dxa"/>
        <w:tblLayout w:type="autofit"/>
        <w:tblCellMar>
          <w:top w:w="0" w:type="dxa"/>
          <w:left w:w="108" w:type="dxa"/>
          <w:bottom w:w="0" w:type="dxa"/>
          <w:right w:w="108" w:type="dxa"/>
        </w:tblCellMar>
      </w:tblPr>
      <w:tblGrid>
        <w:gridCol w:w="701"/>
        <w:gridCol w:w="937"/>
        <w:gridCol w:w="1634"/>
        <w:gridCol w:w="3711"/>
        <w:gridCol w:w="1380"/>
        <w:gridCol w:w="1380"/>
        <w:gridCol w:w="1380"/>
        <w:gridCol w:w="1380"/>
        <w:gridCol w:w="1489"/>
      </w:tblGrid>
      <w:tr>
        <w:tblPrEx>
          <w:tblCellMar>
            <w:top w:w="0" w:type="dxa"/>
            <w:left w:w="108" w:type="dxa"/>
            <w:bottom w:w="0" w:type="dxa"/>
            <w:right w:w="108" w:type="dxa"/>
          </w:tblCellMar>
        </w:tblPrEx>
        <w:trPr>
          <w:trHeight w:val="406"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设区市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市（县）、区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园区</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vertAlign w:val="subscript"/>
              </w:rPr>
            </w:pPr>
            <w:r>
              <w:rPr>
                <w:rFonts w:hint="default" w:ascii="Times New Roman" w:hAnsi="Times New Roman" w:cs="Times New Roman"/>
                <w:b/>
                <w:bCs/>
                <w:kern w:val="0"/>
                <w:sz w:val="21"/>
                <w:szCs w:val="21"/>
              </w:rPr>
              <w:t>PM</w:t>
            </w:r>
            <w:r>
              <w:rPr>
                <w:rFonts w:hint="default" w:ascii="Times New Roman" w:hAnsi="Times New Roman" w:cs="Times New Roman"/>
                <w:b/>
                <w:bCs/>
                <w:kern w:val="0"/>
                <w:sz w:val="21"/>
                <w:szCs w:val="21"/>
                <w:vertAlign w:val="subscript"/>
              </w:rPr>
              <w:t>2.5</w:t>
            </w:r>
          </w:p>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（μg/m³）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二氧化硫</w:t>
            </w:r>
          </w:p>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（μg/m³）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二氧化氮</w:t>
            </w:r>
          </w:p>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（μg/m³）</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臭氧</w:t>
            </w:r>
          </w:p>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（μg/m³）</w:t>
            </w:r>
          </w:p>
        </w:tc>
        <w:tc>
          <w:tcPr>
            <w:tcW w:w="534" w:type="pct"/>
            <w:tcBorders>
              <w:top w:val="single" w:color="000000" w:sz="4" w:space="0"/>
              <w:left w:val="single" w:color="000000" w:sz="4" w:space="0"/>
              <w:bottom w:val="single" w:color="000000" w:sz="4" w:space="0"/>
              <w:right w:val="single" w:color="000000" w:sz="4" w:space="0"/>
            </w:tcBorders>
          </w:tcPr>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NHMC浓度</w:t>
            </w:r>
          </w:p>
          <w:p>
            <w:pPr>
              <w:widowControl/>
              <w:adjustRightInd w:val="0"/>
              <w:snapToGrid w:val="0"/>
              <w:spacing w:line="240" w:lineRule="atLeast"/>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（ppb）</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江阴高新技术产业开发区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37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27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江苏江阴临港经济开发区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37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江阴临港化工园区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38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50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宜兴市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宜兴经济技术开发区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宜兴市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江苏宜兴陶瓷产业工业园区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宜兴市</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宜兴市新材料产业园</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锡山区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锡山经济技术开发区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34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锡山区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锡山经济技术开发区新材料产业园</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34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惠山区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无锡惠山经济技术开发区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34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滨湖区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江苏无锡蠡园经济开发区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33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29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180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32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新吴区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无锡高新技术产业开发区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9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新吴区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江苏无锡空港经济开发区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9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35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27 </w:t>
            </w:r>
          </w:p>
        </w:tc>
      </w:tr>
      <w:tr>
        <w:tblPrEx>
          <w:tblCellMar>
            <w:top w:w="0" w:type="dxa"/>
            <w:left w:w="108" w:type="dxa"/>
            <w:bottom w:w="0" w:type="dxa"/>
            <w:right w:w="108" w:type="dxa"/>
          </w:tblCellMar>
        </w:tblPrEx>
        <w:trPr>
          <w:trHeight w:val="283"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无锡市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经开区</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江苏无锡经济开发区</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34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10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32 </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179 </w:t>
            </w:r>
          </w:p>
        </w:tc>
        <w:tc>
          <w:tcPr>
            <w:tcW w:w="534" w:type="pct"/>
            <w:tcBorders>
              <w:top w:val="single" w:color="000000" w:sz="4" w:space="0"/>
              <w:left w:val="single" w:color="000000" w:sz="4" w:space="0"/>
              <w:bottom w:val="single" w:color="000000" w:sz="4" w:space="0"/>
              <w:right w:val="single" w:color="000000" w:sz="4" w:space="0"/>
            </w:tcBorders>
          </w:tcPr>
          <w:p>
            <w:pPr>
              <w:adjustRightInd w:val="0"/>
              <w:snapToGrid w:val="0"/>
              <w:spacing w:line="24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 xml:space="preserve">25 </w:t>
            </w:r>
          </w:p>
        </w:tc>
      </w:tr>
    </w:tbl>
    <w:p>
      <w:pPr>
        <w:pStyle w:val="5"/>
        <w:adjustRightInd w:val="0"/>
        <w:snapToGrid w:val="0"/>
        <w:spacing w:line="520" w:lineRule="exact"/>
        <w:ind w:firstLine="480"/>
        <w:jc w:val="both"/>
        <w:rPr>
          <w:rFonts w:hint="default" w:ascii="Times New Roman" w:hAnsi="Times New Roman" w:cs="Times New Roman"/>
          <w:sz w:val="24"/>
        </w:rPr>
      </w:pPr>
      <w:r>
        <w:rPr>
          <w:rFonts w:hint="default" w:ascii="Times New Roman" w:hAnsi="Times New Roman" w:cs="Times New Roman"/>
          <w:sz w:val="24"/>
        </w:rPr>
        <w:br w:type="page"/>
      </w:r>
    </w:p>
    <w:p>
      <w:pPr>
        <w:widowControl/>
        <w:jc w:val="left"/>
        <w:rPr>
          <w:rFonts w:hint="default" w:ascii="Times New Roman" w:hAnsi="Times New Roman" w:eastAsia="方正小标宋_GBK" w:cs="Times New Roman"/>
          <w:snapToGrid w:val="0"/>
          <w:kern w:val="0"/>
          <w:sz w:val="44"/>
          <w:szCs w:val="44"/>
          <w:lang w:val="zh-CN"/>
        </w:rPr>
      </w:pPr>
      <w:r>
        <w:rPr>
          <w:rFonts w:hint="default" w:ascii="Times New Roman" w:hAnsi="Times New Roman" w:eastAsia="方正黑体_GBK" w:cs="Times New Roman"/>
          <w:kern w:val="0"/>
          <w:szCs w:val="32"/>
          <w:lang w:val="zh-CN" w:bidi="zh-CN"/>
        </w:rPr>
        <w:t>附件4</w:t>
      </w:r>
      <w:bookmarkStart w:id="0" w:name="_GoBack"/>
      <w:bookmarkEnd w:id="0"/>
    </w:p>
    <w:p>
      <w:pPr>
        <w:overflowPunct w:val="0"/>
        <w:spacing w:after="217" w:afterLines="5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2024年移动源污染防治任务表</w:t>
      </w:r>
    </w:p>
    <w:tbl>
      <w:tblPr>
        <w:tblStyle w:val="11"/>
        <w:tblW w:w="5000" w:type="pct"/>
        <w:jc w:val="center"/>
        <w:tblLayout w:type="autofit"/>
        <w:tblCellMar>
          <w:top w:w="0" w:type="dxa"/>
          <w:left w:w="108" w:type="dxa"/>
          <w:bottom w:w="0" w:type="dxa"/>
          <w:right w:w="108" w:type="dxa"/>
        </w:tblCellMar>
      </w:tblPr>
      <w:tblGrid>
        <w:gridCol w:w="3503"/>
        <w:gridCol w:w="3747"/>
        <w:gridCol w:w="3280"/>
        <w:gridCol w:w="3462"/>
      </w:tblGrid>
      <w:tr>
        <w:tblPrEx>
          <w:tblCellMar>
            <w:top w:w="0" w:type="dxa"/>
            <w:left w:w="108" w:type="dxa"/>
            <w:bottom w:w="0" w:type="dxa"/>
            <w:right w:w="108" w:type="dxa"/>
          </w:tblCellMar>
        </w:tblPrEx>
        <w:trPr>
          <w:trHeight w:val="1172" w:hRule="atLeast"/>
          <w:jc w:val="center"/>
        </w:trPr>
        <w:tc>
          <w:tcPr>
            <w:tcW w:w="1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市（县）区</w:t>
            </w:r>
          </w:p>
        </w:tc>
        <w:tc>
          <w:tcPr>
            <w:tcW w:w="13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路检路查</w:t>
            </w:r>
          </w:p>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（辆·次）/月</w:t>
            </w:r>
          </w:p>
        </w:tc>
        <w:tc>
          <w:tcPr>
            <w:tcW w:w="11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入户抽测</w:t>
            </w:r>
          </w:p>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（辆·次）/月</w:t>
            </w:r>
          </w:p>
        </w:tc>
        <w:tc>
          <w:tcPr>
            <w:tcW w:w="1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非道路移动机械抽测</w:t>
            </w:r>
          </w:p>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（台·次）/月</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江阴市</w:t>
            </w:r>
          </w:p>
        </w:tc>
        <w:tc>
          <w:tcPr>
            <w:tcW w:w="133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30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宜兴市</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30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梁溪区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锡山区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惠山区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滨湖区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新吴区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经开区</w:t>
            </w:r>
          </w:p>
        </w:tc>
        <w:tc>
          <w:tcPr>
            <w:tcW w:w="1339" w:type="pct"/>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40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20</w:t>
            </w:r>
          </w:p>
        </w:tc>
      </w:tr>
      <w:tr>
        <w:tblPrEx>
          <w:tblCellMar>
            <w:top w:w="0" w:type="dxa"/>
            <w:left w:w="108" w:type="dxa"/>
            <w:bottom w:w="0" w:type="dxa"/>
            <w:right w:w="108" w:type="dxa"/>
          </w:tblCellMar>
        </w:tblPrEx>
        <w:trPr>
          <w:trHeight w:val="469" w:hRule="atLeast"/>
          <w:jc w:val="center"/>
        </w:trPr>
        <w:tc>
          <w:tcPr>
            <w:tcW w:w="12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无锡市</w:t>
            </w:r>
          </w:p>
        </w:tc>
        <w:tc>
          <w:tcPr>
            <w:tcW w:w="133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320</w:t>
            </w:r>
          </w:p>
        </w:tc>
        <w:tc>
          <w:tcPr>
            <w:tcW w:w="117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160</w:t>
            </w:r>
          </w:p>
        </w:tc>
        <w:tc>
          <w:tcPr>
            <w:tcW w:w="123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cs="Times New Roman"/>
                <w:color w:val="000000"/>
                <w:sz w:val="21"/>
                <w:szCs w:val="21"/>
              </w:rPr>
              <w:t>180</w:t>
            </w:r>
          </w:p>
        </w:tc>
      </w:tr>
    </w:tbl>
    <w:p>
      <w:pPr>
        <w:rPr>
          <w:rFonts w:hint="default" w:ascii="Times New Roman" w:hAnsi="Times New Roman" w:cs="Times New Roman"/>
          <w:sz w:val="24"/>
        </w:rPr>
      </w:pPr>
      <w:r>
        <w:rPr>
          <w:rFonts w:hint="default" w:ascii="Times New Roman" w:hAnsi="Times New Roman" w:cs="Times New Roman"/>
          <w:sz w:val="24"/>
        </w:rPr>
        <w:br w:type="page"/>
      </w:r>
    </w:p>
    <w:p>
      <w:pPr>
        <w:topLinePunct/>
        <w:spacing w:line="560" w:lineRule="exact"/>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附件5</w:t>
      </w:r>
    </w:p>
    <w:p>
      <w:pPr>
        <w:topLinePunct/>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无锡市2024年大气污染防治任务清单</w:t>
      </w:r>
    </w:p>
    <w:p>
      <w:pPr>
        <w:topLinePunct/>
        <w:spacing w:line="560" w:lineRule="exact"/>
        <w:jc w:val="center"/>
        <w:rPr>
          <w:rFonts w:hint="default" w:ascii="Times New Roman" w:hAnsi="Times New Roman" w:eastAsia="方正小标宋_GBK" w:cs="Times New Roman"/>
          <w:snapToGrid w:val="0"/>
          <w:kern w:val="0"/>
          <w:sz w:val="44"/>
          <w:szCs w:val="44"/>
        </w:rPr>
      </w:pP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8585"/>
        <w:gridCol w:w="4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blHeader/>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序号</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2024年推进任务</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优化产业结构，推进产业绿色高质量发展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推动全市完成优化产业布局，坚决遏制“两高一低”（高耗能、高排放、低水平）项目盲目发展，严格项目准入，对不符合省相关规定的“两高一低”项目，坚决停批停建。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市发展改革委、工业和信息化局、数据局、生态环境局，以下均需各市（县）、区人民政府和经开区管委会负责落实，不再列出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对高耗能高排放项目实行清单管理、分类处置、动态监控。持续推进全市高耗能行业重点领域能效水平达基准水平。</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市发展改革委、工业和信息化局、数据局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强化法规标准等约束，利用能耗、环保、安全、质量、技术等综合标准，逐步退出限制类涉气行业工艺和装备，依法依规淘汰落后产能，持续推进化工行业安全环保整治提升，大幅提升行业整体绿色发展水平。</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市工业和信息化局、发展改革委、生态环境局、应急局、市场监管局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加快改造环保、能效、安全不达标的火电、钢铁、石化、化工、建材等重点企业，对能耗占比较高的重点行业和数据中心实施节能降耗。</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市工业和信息化局、发展改革委、生态环境局、应急局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树立行业标杆，大力推行绿色制造，推进绿色工厂、绿色园区建设。</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市工业和信息化局、生态环境局、发展改革委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二</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优化能源结构，加快能源绿色低碳转型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充分发挥30万千瓦及以上热电联产电厂的供热能力，对其供热半径30公里范围内的燃煤锅炉和落后燃煤小热电机组（含自备电厂）进行关停或整合。</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市发展改革委、工业和信息化局、生态环境局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有序推进以电代煤，积极稳妥推进以气代煤。不再新增燃料类煤气发生炉，新改扩建加热炉、热处理炉、干燥炉、熔化炉原则上采用清洁低碳能源。</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市生态环境局、工业和信息化局、发展改革委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三</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优化运输结构，发展绿色交通体系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大力提高铁路、管道、水运等清洁运能，火电、钢铁、水泥等行业大宗货物清洁方式运输比例达到80%；短距离运输优先采用封闭式皮带廊道或新能源车船，达不到的，进出厂区货物运输车辆应全部采用国Ⅵ及以上排放标准汽车或新能源汽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市交通运输局、发展改革委、生态环境局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公共领域新增或替换的公交车实现新能源和清洁能源车辆占比达90%以上；推进快递、环卫、旅游等领域使用新能源或清洁能源汽车，邮政（不含机要通信车）领域采用新能源汽车或清洁能源汽车比例不低于80%</w:t>
            </w:r>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方正仿宋_GBK" w:cs="Times New Roman"/>
                <w:i w:val="0"/>
                <w:iCs w:val="0"/>
                <w:color w:val="000000"/>
                <w:kern w:val="0"/>
                <w:sz w:val="22"/>
                <w:szCs w:val="22"/>
                <w:u w:val="none"/>
                <w:lang w:val="en-US" w:eastAsia="zh-CN" w:bidi="ar"/>
              </w:rPr>
              <w:t>2024年，推广应用新能源汽车3万辆。</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市交通运输局、发展改革委、工业和信息化局、城管局、财政局、公安局、住房城乡建设局、农业农村局、生态环境局、市场监管局、邮政管理局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持续推进国Ⅲ及以下排放标准柴油货车淘汰，力争2024年底前基本完成淘汰。</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市生态环境局、公安局、交通运输局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2024年底前，力争淘汰60%以上的国Ⅰ及以下排放标准（主要为2009年10月1日前生产的）和无法核定生产日期的非道路移动机械。</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市住房城乡建设局、工业和信息化局、交通运输局、市政园林局、水利局、农业农村局、生态环境局、市场监管局、地铁集团、机场集团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2024年船舶靠港使用岸电量不低于2023年。</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秋冬季期间监督抽测柴油货车数量不低于当地柴油货车保有量的80%。持续开展非道路移动机械编码登记工作，在国家非道路移动机械环保监管平台完成编码登记的燃油（气）工程机械数量应达到在用数量的80%以上，编码登记数据的误差率低于3%。每月至少开展一次在用非道路移动机械监督抽查，每月抽测数量不少于60台·次，基本消除非道路移动机械“冒黑烟”现象。</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市生态环境局、交通运输局、公安局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四</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紧盯重点行业，提升大气污染物排放绩效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底前，全市6家燃煤电厂完成全流程脱硝改造，在确保电力可靠供应的基础上，强化机组启停阶段氮氧化物排放管理，实现煤电机组自并网运行、至解列前，机组全负荷氮氧化物稳定达标排放，最大程度缓解煤电机组深度调峰及启停过程中对环境空气质量的影响。</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快推进无锡市24家水泥熟料生产、粉磨站企业，全部生产环节的大气污染物有组织排放、无组织排放、运输过程和监测监控实施提标整治，确保达到超低排放要求。进出企业的物料和产品采用铁路、水路、管道、管状带式输送机、皮带通廊等清洁方式运输比例不低于80%，其余汽车运输部分采用新能源或国Ⅵ排放标准的车辆。对无锡市187家水泥制品制造等企业，参照方案对有组织排放与无组织排放实施提标整治。</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市生态环境局、发展改革委、工业和信息化局、交通运输局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对列入大气工程项目清单的657家铸造企业从源头减排、过程控制、末端治理等方面实施提标整治，力争2024年底前，巩固提升铸造行业综合治理水平，培育环保绩效AB级水平的标杆铸造企业40家左右。</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在持续推进2023年14家火（热）电、垃圾（危废）焚烧等重点行业企业深度治理的基础上，新增8家重点企业开展深度治理，有效压降烟尘、二氧化硫、氮氧化物排放，确保排放水平优于全省平均。</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市生态环境局、发展改革委、城管局、市政府国有资产监督管理委员会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五</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狠抓VOCs整治，扎实推进VOCs污染治理攻坚行动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2024年底前，木质家具制造、工程机械低VOCs原辅材料替代比例力争达到80%，汽车零部件及配件制造、钢结构（防腐级别C4及以上的除外）替代比例力争达到60%。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对挥发性有机液体储罐开展排查，完成1022个储罐排查整治及“回头看”。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2024年9月底前完成一轮涉VOCs汽修企业整治，推进治理设施升级改造。</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加大油品使用环节检查力度，对发现的非标油问题线索进行追溯，依法依规追究相关生产、销售、运输者主体责任。</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市市场监管局、商务局、公安局、交通运输局、生态环境局、应急局、江阴海事局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督促各加油站对照《加油站大气污染物排放标准》等，全面建立油气回收系统日常运行管理制度，建立油气回收系统相关零部件定期检查、维护台账记录。</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市商务局、生态环境局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巩固提升原油成品油码头和油船VOCs治理成效，强化油气回收设施维护保养、运行管理，落实排污许可管理要求，杜绝违规停用、闲置油气回收设施。</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市交通运输局、商务局、生态环境局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鼓励公共领域单位车辆维修优先选择具备水性共享钣喷条件的钣喷中心，完成28家全水性喷涂汽修企业的建设使用，梁溪区、锡山区、新吴区、经开区推进汽修行业基本实现全水性替代。</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市生态环境局、市场监管局、交通运输局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六</w:t>
            </w:r>
          </w:p>
        </w:tc>
        <w:tc>
          <w:tcPr>
            <w:tcW w:w="4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聚焦面源污染，持续提升精细化治理水平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工地扬尘管控，严格落实《无锡市建设工程文明施工管理办法》（政府令〔2021〕177号），深化“六个百分百”要求，强化内部扬尘管控，持续开展工地专项整治，对违法施工单位通过停工整改、限期整改、约谈、信用扣分、黑榜曝光、行政处罚等方式加强惩戒。</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市住房城乡建设局、交通运输局、水利局、市政园林局、生态环境局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交通工程严格执行《江苏省交通重点工程施工期生态环境保护管理办法（试行）》中“六个百分之百”要求，“两区三厂”（生活区、办公区、预制厂、拌和厂、钢筋加工厂）范围内无大面积未覆盖裸土。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市交通运输局、住房城乡建设局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智慧工地建设，推动政府投资规模以上新建工程智慧工地全覆盖，推动全市5000平方米以上的建筑工地安装视频监控并接入当地监管平台。将扬尘污染防治费用纳入工程造价。持续推进装配式建筑发展，2024年底前，装配式建筑占新建建筑面积比例达到40%。</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市住房城乡建设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强化渣土运输车辆全封闭运输管理，强化重点区域渣土车夜间运输集中整治，依法依规查处非法运输、抛撒滴漏、带泥上路、冒黑烟等行为。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加强推动新能源汽车与交通融合发展，优化完善政府工程招投标要求、施工工地管理考核机制等，鼓励政府工程和重点管理区域内优先使用新能源非道路移动机械，2024年底前，完成29个全电工地的试点建设。</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市住房城乡建设局、工业和信息化局、交通运输局、生态环境局、水利局、市政园林局、城管局、地铁集团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全市主次干道、马路牙边、背街小巷，小区楼顶、住宅区内部道路，加大作业保洁频次，每周至少进行1—2次深度保洁作业，机械作业盲区每日由人工开展水扫作业，水扫率需要达到80%以上，保证主要道路保洁时间不低于16小时，一般道路保洁时间不低于12小时，主次干道每日不少于3次洒水。城市建成区道路机械化清扫率达到92%以上，县级市城区达88%左右。</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市城管局、住房城乡建设局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城市公共区域、长期未开发的建设裸地，以及废旧厂区、物流园、大型停车场等进行排查建档并采取防尘措施，加强城市及周边道路两侧裸土、长期闲置土地的绿化、硬化，对城市柴油货车临时停车场实施路面硬化。</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市城管局、住房城乡建设局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鼓励各地结合实际统筹安排秸秆机械化还田和离田收储利用，因地制宜推进秸秆肥料化、饲料化、能源化、基料化、原料化利用，提高秸秆还田标准化、规范化水平。</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对出现火点的乡镇街道主要负责人进行约谈问责，对秸秆焚烧面积超200平方米（含）和垃圾焚烧面积超过20平方米（含）的情况，造成严重环境污染的，按规定追究相关责任。</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严厉打击非法生产、运输、储存、经营、燃放烟花爆竹违法犯罪活动，全力收缴非法烟花爆竹，取缔非法烟花爆竹零售店（点）。</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市公安局、应急局、城管局、交通运输局、市场监管局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全面开展烟花爆竹零售实名登记工作，从源头最大限度预防和减少因燃放烟花爆竹造成的环境空气质量污染，切实改善环境空气质量。</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市公安局、应急局、市场监管局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对重大节日、重大活动期间实行禁放管控，及时劝导制止禁放区内烟花爆竹燃放。</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市公安局、城管局、生态环境局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持续开展露天烧烤和夜市餐饮油烟污染专项整治，加强餐饮油烟污染治理和执法监管。</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推动重点区域内面积100平方米以上餐饮店以及城市综合体、美食街等区域的餐饮经营单位安装在线监控，确保重点范围内餐饮企业油烟净化装置高效运行。</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推动梁溪区、锡山区、惠山区确保完成1个大气“绿岛”示范项目建设，并投入使用。</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3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推进无异味园区建设，建立化工园区“嗅辨+监测”异味溯源机制，减少化工园区异味扰民。</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市生态环境局</w:t>
            </w:r>
          </w:p>
        </w:tc>
      </w:tr>
    </w:tbl>
    <w:p>
      <w:pPr>
        <w:spacing w:line="0" w:lineRule="atLeast"/>
        <w:rPr>
          <w:rFonts w:hint="default" w:ascii="Times New Roman" w:hAnsi="Times New Roman" w:cs="Times New Roman"/>
        </w:rPr>
      </w:pPr>
    </w:p>
    <w:sectPr>
      <w:footerReference r:id="rId3" w:type="default"/>
      <w:pgSz w:w="16838" w:h="11906" w:orient="landscape"/>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954492"/>
      <w:docPartObj>
        <w:docPartGallery w:val="autotext"/>
      </w:docPartObj>
    </w:sdtPr>
    <w:sdtEndPr>
      <w:rPr>
        <w:sz w:val="28"/>
        <w:szCs w:val="28"/>
      </w:rPr>
    </w:sdtEndPr>
    <w:sdtContent>
      <w:p>
        <w:pPr>
          <w:pStyle w:val="7"/>
          <w:jc w:val="center"/>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NGFkOGQwMzdmM2QzNWIxY2QzODhmYzZlMGI1MmEifQ=="/>
  </w:docVars>
  <w:rsids>
    <w:rsidRoot w:val="00F109A8"/>
    <w:rsid w:val="00002DC3"/>
    <w:rsid w:val="0001258E"/>
    <w:rsid w:val="000202E0"/>
    <w:rsid w:val="0002041F"/>
    <w:rsid w:val="000205D5"/>
    <w:rsid w:val="00024C7E"/>
    <w:rsid w:val="00036A1B"/>
    <w:rsid w:val="0003736F"/>
    <w:rsid w:val="000420E5"/>
    <w:rsid w:val="000438C4"/>
    <w:rsid w:val="000438CE"/>
    <w:rsid w:val="0005462D"/>
    <w:rsid w:val="000567D3"/>
    <w:rsid w:val="00060C76"/>
    <w:rsid w:val="000659FC"/>
    <w:rsid w:val="00065A76"/>
    <w:rsid w:val="00066F90"/>
    <w:rsid w:val="00070ECC"/>
    <w:rsid w:val="00076113"/>
    <w:rsid w:val="000850A0"/>
    <w:rsid w:val="0008575E"/>
    <w:rsid w:val="00091A6D"/>
    <w:rsid w:val="000968C1"/>
    <w:rsid w:val="00097D8D"/>
    <w:rsid w:val="000B4427"/>
    <w:rsid w:val="000B6408"/>
    <w:rsid w:val="000B6765"/>
    <w:rsid w:val="000B7D82"/>
    <w:rsid w:val="000C452D"/>
    <w:rsid w:val="000C4DE3"/>
    <w:rsid w:val="000C5740"/>
    <w:rsid w:val="000D0914"/>
    <w:rsid w:val="000D10EC"/>
    <w:rsid w:val="000D3756"/>
    <w:rsid w:val="000D4E77"/>
    <w:rsid w:val="000D6305"/>
    <w:rsid w:val="000E3873"/>
    <w:rsid w:val="000F5C09"/>
    <w:rsid w:val="000F5FC7"/>
    <w:rsid w:val="000F66B4"/>
    <w:rsid w:val="000F6BE0"/>
    <w:rsid w:val="000F6C6F"/>
    <w:rsid w:val="00101563"/>
    <w:rsid w:val="00106C7F"/>
    <w:rsid w:val="001207B2"/>
    <w:rsid w:val="00120A1A"/>
    <w:rsid w:val="0012143D"/>
    <w:rsid w:val="00130A23"/>
    <w:rsid w:val="001364CB"/>
    <w:rsid w:val="00136540"/>
    <w:rsid w:val="00141530"/>
    <w:rsid w:val="001420E7"/>
    <w:rsid w:val="00145EEF"/>
    <w:rsid w:val="0015663C"/>
    <w:rsid w:val="00166644"/>
    <w:rsid w:val="001668BE"/>
    <w:rsid w:val="00167466"/>
    <w:rsid w:val="001875D6"/>
    <w:rsid w:val="00191900"/>
    <w:rsid w:val="001977B8"/>
    <w:rsid w:val="001A6C15"/>
    <w:rsid w:val="001A79BD"/>
    <w:rsid w:val="001B65CE"/>
    <w:rsid w:val="001D1E02"/>
    <w:rsid w:val="001D7231"/>
    <w:rsid w:val="001E0689"/>
    <w:rsid w:val="001E2A0D"/>
    <w:rsid w:val="001E6CD8"/>
    <w:rsid w:val="001E7A1A"/>
    <w:rsid w:val="001F2F90"/>
    <w:rsid w:val="0021138C"/>
    <w:rsid w:val="00211980"/>
    <w:rsid w:val="002164E7"/>
    <w:rsid w:val="002347CD"/>
    <w:rsid w:val="00241E51"/>
    <w:rsid w:val="00241F2F"/>
    <w:rsid w:val="0024759B"/>
    <w:rsid w:val="002622F2"/>
    <w:rsid w:val="002627D3"/>
    <w:rsid w:val="002733B3"/>
    <w:rsid w:val="00274503"/>
    <w:rsid w:val="00277B0D"/>
    <w:rsid w:val="00286FAA"/>
    <w:rsid w:val="00291758"/>
    <w:rsid w:val="002953F1"/>
    <w:rsid w:val="00297D3C"/>
    <w:rsid w:val="002A1FAC"/>
    <w:rsid w:val="002A4DAC"/>
    <w:rsid w:val="002B2EB5"/>
    <w:rsid w:val="002B72C4"/>
    <w:rsid w:val="002C2D84"/>
    <w:rsid w:val="002E0AA9"/>
    <w:rsid w:val="002E378C"/>
    <w:rsid w:val="002E44D6"/>
    <w:rsid w:val="002E7FFE"/>
    <w:rsid w:val="002F0F13"/>
    <w:rsid w:val="002F300A"/>
    <w:rsid w:val="0031444C"/>
    <w:rsid w:val="00320143"/>
    <w:rsid w:val="0032182C"/>
    <w:rsid w:val="00342530"/>
    <w:rsid w:val="003521FC"/>
    <w:rsid w:val="00363A94"/>
    <w:rsid w:val="00371E53"/>
    <w:rsid w:val="003756CB"/>
    <w:rsid w:val="0038133B"/>
    <w:rsid w:val="00386A6C"/>
    <w:rsid w:val="00393026"/>
    <w:rsid w:val="003941B9"/>
    <w:rsid w:val="0039663F"/>
    <w:rsid w:val="003A262C"/>
    <w:rsid w:val="003A45DE"/>
    <w:rsid w:val="003B04D8"/>
    <w:rsid w:val="003B7358"/>
    <w:rsid w:val="003C2A4E"/>
    <w:rsid w:val="003F24DA"/>
    <w:rsid w:val="003F5522"/>
    <w:rsid w:val="00407D50"/>
    <w:rsid w:val="004218E7"/>
    <w:rsid w:val="00421D1F"/>
    <w:rsid w:val="0042348B"/>
    <w:rsid w:val="0043644C"/>
    <w:rsid w:val="0044360A"/>
    <w:rsid w:val="00444CF2"/>
    <w:rsid w:val="004464BA"/>
    <w:rsid w:val="0045183F"/>
    <w:rsid w:val="00454E88"/>
    <w:rsid w:val="0045606D"/>
    <w:rsid w:val="00467B5F"/>
    <w:rsid w:val="0047038C"/>
    <w:rsid w:val="00482CA4"/>
    <w:rsid w:val="00486E07"/>
    <w:rsid w:val="004936E6"/>
    <w:rsid w:val="0049476F"/>
    <w:rsid w:val="00496B7D"/>
    <w:rsid w:val="00496F9C"/>
    <w:rsid w:val="004A23FB"/>
    <w:rsid w:val="004A2F8D"/>
    <w:rsid w:val="004B325F"/>
    <w:rsid w:val="004B7789"/>
    <w:rsid w:val="004C6D4C"/>
    <w:rsid w:val="004C7146"/>
    <w:rsid w:val="004D6A42"/>
    <w:rsid w:val="004E7899"/>
    <w:rsid w:val="004F2E8D"/>
    <w:rsid w:val="004F7CC1"/>
    <w:rsid w:val="005007F1"/>
    <w:rsid w:val="0050544D"/>
    <w:rsid w:val="005120BF"/>
    <w:rsid w:val="00515773"/>
    <w:rsid w:val="00520223"/>
    <w:rsid w:val="005219CF"/>
    <w:rsid w:val="00522CAF"/>
    <w:rsid w:val="0052470D"/>
    <w:rsid w:val="005334A8"/>
    <w:rsid w:val="005350FB"/>
    <w:rsid w:val="005355ED"/>
    <w:rsid w:val="0054034B"/>
    <w:rsid w:val="00541FC7"/>
    <w:rsid w:val="00546F71"/>
    <w:rsid w:val="00551DF4"/>
    <w:rsid w:val="005532C9"/>
    <w:rsid w:val="005644CA"/>
    <w:rsid w:val="005645AC"/>
    <w:rsid w:val="00567275"/>
    <w:rsid w:val="0058149E"/>
    <w:rsid w:val="005854FC"/>
    <w:rsid w:val="00587834"/>
    <w:rsid w:val="00595160"/>
    <w:rsid w:val="005961F0"/>
    <w:rsid w:val="005A0588"/>
    <w:rsid w:val="005A4ED0"/>
    <w:rsid w:val="005B0E3A"/>
    <w:rsid w:val="005B296B"/>
    <w:rsid w:val="005C2442"/>
    <w:rsid w:val="005C72B6"/>
    <w:rsid w:val="005E2460"/>
    <w:rsid w:val="005E536A"/>
    <w:rsid w:val="005E5599"/>
    <w:rsid w:val="005F027E"/>
    <w:rsid w:val="005F27C7"/>
    <w:rsid w:val="005F61BC"/>
    <w:rsid w:val="00610DA5"/>
    <w:rsid w:val="006253A7"/>
    <w:rsid w:val="00627720"/>
    <w:rsid w:val="00627735"/>
    <w:rsid w:val="00630F93"/>
    <w:rsid w:val="00632787"/>
    <w:rsid w:val="00632BF9"/>
    <w:rsid w:val="006357D7"/>
    <w:rsid w:val="00642D6D"/>
    <w:rsid w:val="00643D92"/>
    <w:rsid w:val="006443BD"/>
    <w:rsid w:val="00650FBD"/>
    <w:rsid w:val="00655ABE"/>
    <w:rsid w:val="00656426"/>
    <w:rsid w:val="00671CF8"/>
    <w:rsid w:val="006733F9"/>
    <w:rsid w:val="00674FC7"/>
    <w:rsid w:val="006760B7"/>
    <w:rsid w:val="00680461"/>
    <w:rsid w:val="006819D6"/>
    <w:rsid w:val="0068662C"/>
    <w:rsid w:val="006928DD"/>
    <w:rsid w:val="006A17BE"/>
    <w:rsid w:val="006A6735"/>
    <w:rsid w:val="006B2331"/>
    <w:rsid w:val="006B571C"/>
    <w:rsid w:val="006D1283"/>
    <w:rsid w:val="006D1E5A"/>
    <w:rsid w:val="006D21DD"/>
    <w:rsid w:val="006D321B"/>
    <w:rsid w:val="006D554C"/>
    <w:rsid w:val="006D7812"/>
    <w:rsid w:val="006E0469"/>
    <w:rsid w:val="006E6A03"/>
    <w:rsid w:val="006E6BAB"/>
    <w:rsid w:val="006F6C8B"/>
    <w:rsid w:val="00704FC1"/>
    <w:rsid w:val="007075A7"/>
    <w:rsid w:val="00712728"/>
    <w:rsid w:val="00713A8E"/>
    <w:rsid w:val="007324AB"/>
    <w:rsid w:val="00735E05"/>
    <w:rsid w:val="00742AEF"/>
    <w:rsid w:val="00744C99"/>
    <w:rsid w:val="007461C2"/>
    <w:rsid w:val="00746B53"/>
    <w:rsid w:val="0075044E"/>
    <w:rsid w:val="00750876"/>
    <w:rsid w:val="007511D9"/>
    <w:rsid w:val="00763657"/>
    <w:rsid w:val="00772C35"/>
    <w:rsid w:val="007736E7"/>
    <w:rsid w:val="0077596C"/>
    <w:rsid w:val="0077629E"/>
    <w:rsid w:val="007771B1"/>
    <w:rsid w:val="00780B01"/>
    <w:rsid w:val="00783295"/>
    <w:rsid w:val="00783829"/>
    <w:rsid w:val="0078581C"/>
    <w:rsid w:val="007900CE"/>
    <w:rsid w:val="00792539"/>
    <w:rsid w:val="007957FF"/>
    <w:rsid w:val="007A216C"/>
    <w:rsid w:val="007B3204"/>
    <w:rsid w:val="007C54BB"/>
    <w:rsid w:val="007C6EA1"/>
    <w:rsid w:val="007D2A82"/>
    <w:rsid w:val="007E2307"/>
    <w:rsid w:val="008229C1"/>
    <w:rsid w:val="00824565"/>
    <w:rsid w:val="00830423"/>
    <w:rsid w:val="0083081B"/>
    <w:rsid w:val="00836AD0"/>
    <w:rsid w:val="00844282"/>
    <w:rsid w:val="00850E14"/>
    <w:rsid w:val="0085236F"/>
    <w:rsid w:val="00855758"/>
    <w:rsid w:val="008610A1"/>
    <w:rsid w:val="00866F6C"/>
    <w:rsid w:val="00871C27"/>
    <w:rsid w:val="00875995"/>
    <w:rsid w:val="00894003"/>
    <w:rsid w:val="008952BE"/>
    <w:rsid w:val="008A18FE"/>
    <w:rsid w:val="008A2593"/>
    <w:rsid w:val="008A44FB"/>
    <w:rsid w:val="008A58F2"/>
    <w:rsid w:val="008B1FB9"/>
    <w:rsid w:val="008C2A6B"/>
    <w:rsid w:val="008C40BC"/>
    <w:rsid w:val="008E2648"/>
    <w:rsid w:val="008E4B67"/>
    <w:rsid w:val="008E7E57"/>
    <w:rsid w:val="008F006A"/>
    <w:rsid w:val="008F332C"/>
    <w:rsid w:val="008F6179"/>
    <w:rsid w:val="008F6B93"/>
    <w:rsid w:val="00903857"/>
    <w:rsid w:val="00903E84"/>
    <w:rsid w:val="00914EF5"/>
    <w:rsid w:val="00916CD7"/>
    <w:rsid w:val="00917044"/>
    <w:rsid w:val="00921BED"/>
    <w:rsid w:val="00931A47"/>
    <w:rsid w:val="009448F0"/>
    <w:rsid w:val="00946A13"/>
    <w:rsid w:val="00946ADB"/>
    <w:rsid w:val="00947892"/>
    <w:rsid w:val="009479CC"/>
    <w:rsid w:val="00960C32"/>
    <w:rsid w:val="00972ED1"/>
    <w:rsid w:val="00976C4D"/>
    <w:rsid w:val="00985CF0"/>
    <w:rsid w:val="009869E4"/>
    <w:rsid w:val="0099143B"/>
    <w:rsid w:val="009940C1"/>
    <w:rsid w:val="009A6986"/>
    <w:rsid w:val="009B1DE1"/>
    <w:rsid w:val="009B4455"/>
    <w:rsid w:val="009C40E9"/>
    <w:rsid w:val="009D3F9E"/>
    <w:rsid w:val="009D7D86"/>
    <w:rsid w:val="009E0C5C"/>
    <w:rsid w:val="009E3978"/>
    <w:rsid w:val="009E5FEB"/>
    <w:rsid w:val="009E6587"/>
    <w:rsid w:val="009F0FA7"/>
    <w:rsid w:val="009F24AB"/>
    <w:rsid w:val="009F2C67"/>
    <w:rsid w:val="009F3CB1"/>
    <w:rsid w:val="009F6E77"/>
    <w:rsid w:val="009F73EC"/>
    <w:rsid w:val="009F78E0"/>
    <w:rsid w:val="00A036C0"/>
    <w:rsid w:val="00A04E9E"/>
    <w:rsid w:val="00A14F38"/>
    <w:rsid w:val="00A2509E"/>
    <w:rsid w:val="00A307D6"/>
    <w:rsid w:val="00A326A1"/>
    <w:rsid w:val="00A35628"/>
    <w:rsid w:val="00A40DEA"/>
    <w:rsid w:val="00A40F01"/>
    <w:rsid w:val="00A43ADE"/>
    <w:rsid w:val="00A47F5D"/>
    <w:rsid w:val="00A525C1"/>
    <w:rsid w:val="00A60A6D"/>
    <w:rsid w:val="00A61A18"/>
    <w:rsid w:val="00A7279C"/>
    <w:rsid w:val="00A83AD7"/>
    <w:rsid w:val="00A90075"/>
    <w:rsid w:val="00A91432"/>
    <w:rsid w:val="00A94F8C"/>
    <w:rsid w:val="00A974FE"/>
    <w:rsid w:val="00AA01D0"/>
    <w:rsid w:val="00AB0D55"/>
    <w:rsid w:val="00AB181A"/>
    <w:rsid w:val="00AB238B"/>
    <w:rsid w:val="00AB2980"/>
    <w:rsid w:val="00AC239C"/>
    <w:rsid w:val="00AC426B"/>
    <w:rsid w:val="00AC624B"/>
    <w:rsid w:val="00AC7CCD"/>
    <w:rsid w:val="00AD2CEA"/>
    <w:rsid w:val="00AD424E"/>
    <w:rsid w:val="00AD67DD"/>
    <w:rsid w:val="00AE3326"/>
    <w:rsid w:val="00AE5900"/>
    <w:rsid w:val="00B0010B"/>
    <w:rsid w:val="00B01431"/>
    <w:rsid w:val="00B03E5D"/>
    <w:rsid w:val="00B143D0"/>
    <w:rsid w:val="00B20D28"/>
    <w:rsid w:val="00B25941"/>
    <w:rsid w:val="00B3234A"/>
    <w:rsid w:val="00B32E09"/>
    <w:rsid w:val="00B34678"/>
    <w:rsid w:val="00B40B9F"/>
    <w:rsid w:val="00B53BE7"/>
    <w:rsid w:val="00B553EF"/>
    <w:rsid w:val="00B61122"/>
    <w:rsid w:val="00B61A2D"/>
    <w:rsid w:val="00B74136"/>
    <w:rsid w:val="00B80D52"/>
    <w:rsid w:val="00B91D83"/>
    <w:rsid w:val="00B97942"/>
    <w:rsid w:val="00BA31C5"/>
    <w:rsid w:val="00BB3F43"/>
    <w:rsid w:val="00BB5C2B"/>
    <w:rsid w:val="00BC1096"/>
    <w:rsid w:val="00BC1457"/>
    <w:rsid w:val="00BC31AE"/>
    <w:rsid w:val="00BD0E99"/>
    <w:rsid w:val="00BD2C2C"/>
    <w:rsid w:val="00BD61D0"/>
    <w:rsid w:val="00BF0266"/>
    <w:rsid w:val="00BF2425"/>
    <w:rsid w:val="00BF406A"/>
    <w:rsid w:val="00BF6351"/>
    <w:rsid w:val="00C00583"/>
    <w:rsid w:val="00C03305"/>
    <w:rsid w:val="00C107E0"/>
    <w:rsid w:val="00C12AAD"/>
    <w:rsid w:val="00C2204C"/>
    <w:rsid w:val="00C225A0"/>
    <w:rsid w:val="00C345E2"/>
    <w:rsid w:val="00C40239"/>
    <w:rsid w:val="00C444B6"/>
    <w:rsid w:val="00C47554"/>
    <w:rsid w:val="00C52DB1"/>
    <w:rsid w:val="00C638A3"/>
    <w:rsid w:val="00C83BDF"/>
    <w:rsid w:val="00C859F4"/>
    <w:rsid w:val="00C86B0F"/>
    <w:rsid w:val="00C86F19"/>
    <w:rsid w:val="00C871D7"/>
    <w:rsid w:val="00C94346"/>
    <w:rsid w:val="00C95798"/>
    <w:rsid w:val="00C963E4"/>
    <w:rsid w:val="00CA24C9"/>
    <w:rsid w:val="00CA2F83"/>
    <w:rsid w:val="00CB4CF4"/>
    <w:rsid w:val="00CC26BA"/>
    <w:rsid w:val="00CC30B1"/>
    <w:rsid w:val="00CC4698"/>
    <w:rsid w:val="00CD27ED"/>
    <w:rsid w:val="00CD2CDA"/>
    <w:rsid w:val="00CD3950"/>
    <w:rsid w:val="00CE056A"/>
    <w:rsid w:val="00CE4533"/>
    <w:rsid w:val="00CE6FEE"/>
    <w:rsid w:val="00CF4838"/>
    <w:rsid w:val="00D07301"/>
    <w:rsid w:val="00D130FA"/>
    <w:rsid w:val="00D1366C"/>
    <w:rsid w:val="00D145E0"/>
    <w:rsid w:val="00D20BE6"/>
    <w:rsid w:val="00D23BBE"/>
    <w:rsid w:val="00D24FC3"/>
    <w:rsid w:val="00D26847"/>
    <w:rsid w:val="00D33E3B"/>
    <w:rsid w:val="00D3401E"/>
    <w:rsid w:val="00D40210"/>
    <w:rsid w:val="00D403AB"/>
    <w:rsid w:val="00D419E5"/>
    <w:rsid w:val="00D41C77"/>
    <w:rsid w:val="00D41F23"/>
    <w:rsid w:val="00D50999"/>
    <w:rsid w:val="00D565FD"/>
    <w:rsid w:val="00D71A36"/>
    <w:rsid w:val="00D77EF1"/>
    <w:rsid w:val="00D807C0"/>
    <w:rsid w:val="00D80DF4"/>
    <w:rsid w:val="00D82784"/>
    <w:rsid w:val="00D92147"/>
    <w:rsid w:val="00D939FE"/>
    <w:rsid w:val="00DA0127"/>
    <w:rsid w:val="00DA23B4"/>
    <w:rsid w:val="00DA36B5"/>
    <w:rsid w:val="00DA461C"/>
    <w:rsid w:val="00DB19DF"/>
    <w:rsid w:val="00DB339A"/>
    <w:rsid w:val="00DC7FE2"/>
    <w:rsid w:val="00DD2460"/>
    <w:rsid w:val="00DD3323"/>
    <w:rsid w:val="00DD626E"/>
    <w:rsid w:val="00DD6A08"/>
    <w:rsid w:val="00DE7F44"/>
    <w:rsid w:val="00E015A2"/>
    <w:rsid w:val="00E02670"/>
    <w:rsid w:val="00E068AA"/>
    <w:rsid w:val="00E13E37"/>
    <w:rsid w:val="00E30F54"/>
    <w:rsid w:val="00E32C4A"/>
    <w:rsid w:val="00E411D8"/>
    <w:rsid w:val="00E41C5A"/>
    <w:rsid w:val="00E4674A"/>
    <w:rsid w:val="00E46A91"/>
    <w:rsid w:val="00E47AE6"/>
    <w:rsid w:val="00E50726"/>
    <w:rsid w:val="00E50B55"/>
    <w:rsid w:val="00E56480"/>
    <w:rsid w:val="00E5781F"/>
    <w:rsid w:val="00E66725"/>
    <w:rsid w:val="00E7493D"/>
    <w:rsid w:val="00E80F68"/>
    <w:rsid w:val="00E86E51"/>
    <w:rsid w:val="00E87B11"/>
    <w:rsid w:val="00EA403F"/>
    <w:rsid w:val="00EA663D"/>
    <w:rsid w:val="00EB03EB"/>
    <w:rsid w:val="00EB5AB4"/>
    <w:rsid w:val="00EB63EA"/>
    <w:rsid w:val="00EC0CE3"/>
    <w:rsid w:val="00EC29C2"/>
    <w:rsid w:val="00ED0BFB"/>
    <w:rsid w:val="00ED4263"/>
    <w:rsid w:val="00EF33BD"/>
    <w:rsid w:val="00EF350F"/>
    <w:rsid w:val="00EF684A"/>
    <w:rsid w:val="00F025E6"/>
    <w:rsid w:val="00F054B0"/>
    <w:rsid w:val="00F109A8"/>
    <w:rsid w:val="00F14719"/>
    <w:rsid w:val="00F15200"/>
    <w:rsid w:val="00F21C14"/>
    <w:rsid w:val="00F23473"/>
    <w:rsid w:val="00F243E4"/>
    <w:rsid w:val="00F33E3E"/>
    <w:rsid w:val="00F41805"/>
    <w:rsid w:val="00F427DD"/>
    <w:rsid w:val="00F62B45"/>
    <w:rsid w:val="00F634D0"/>
    <w:rsid w:val="00F63755"/>
    <w:rsid w:val="00F66A77"/>
    <w:rsid w:val="00F718D2"/>
    <w:rsid w:val="00F7285C"/>
    <w:rsid w:val="00F733D9"/>
    <w:rsid w:val="00F76379"/>
    <w:rsid w:val="00F771F2"/>
    <w:rsid w:val="00F812E2"/>
    <w:rsid w:val="00F8353C"/>
    <w:rsid w:val="00F91BB2"/>
    <w:rsid w:val="00FA1278"/>
    <w:rsid w:val="00FA7062"/>
    <w:rsid w:val="00FB0707"/>
    <w:rsid w:val="00FB0BB5"/>
    <w:rsid w:val="00FC16B1"/>
    <w:rsid w:val="00FD52EB"/>
    <w:rsid w:val="00FD5AB9"/>
    <w:rsid w:val="00FD64F5"/>
    <w:rsid w:val="00FE090E"/>
    <w:rsid w:val="00FF1A00"/>
    <w:rsid w:val="00FF5DDA"/>
    <w:rsid w:val="01770C0B"/>
    <w:rsid w:val="038F7710"/>
    <w:rsid w:val="07F92E63"/>
    <w:rsid w:val="081514CD"/>
    <w:rsid w:val="083C267D"/>
    <w:rsid w:val="0A4B0B91"/>
    <w:rsid w:val="0C8967D1"/>
    <w:rsid w:val="0DDA7292"/>
    <w:rsid w:val="12D96ED3"/>
    <w:rsid w:val="16113A6D"/>
    <w:rsid w:val="180864FC"/>
    <w:rsid w:val="1E36724E"/>
    <w:rsid w:val="220A6A98"/>
    <w:rsid w:val="226702D7"/>
    <w:rsid w:val="23537289"/>
    <w:rsid w:val="29AE18A7"/>
    <w:rsid w:val="2A7B7356"/>
    <w:rsid w:val="2BB72560"/>
    <w:rsid w:val="349861F1"/>
    <w:rsid w:val="353624B3"/>
    <w:rsid w:val="35F038E5"/>
    <w:rsid w:val="37F05781"/>
    <w:rsid w:val="41744BE2"/>
    <w:rsid w:val="43B91888"/>
    <w:rsid w:val="44253334"/>
    <w:rsid w:val="4439420B"/>
    <w:rsid w:val="469E7096"/>
    <w:rsid w:val="4D7F6FF6"/>
    <w:rsid w:val="4D8304A6"/>
    <w:rsid w:val="4DC563A5"/>
    <w:rsid w:val="545D5AF4"/>
    <w:rsid w:val="57D66880"/>
    <w:rsid w:val="5C34011F"/>
    <w:rsid w:val="5D043309"/>
    <w:rsid w:val="63042240"/>
    <w:rsid w:val="63584057"/>
    <w:rsid w:val="6407788D"/>
    <w:rsid w:val="65AA02BE"/>
    <w:rsid w:val="66752351"/>
    <w:rsid w:val="69B13CDF"/>
    <w:rsid w:val="69C76E18"/>
    <w:rsid w:val="6AB43F18"/>
    <w:rsid w:val="6AE92AEE"/>
    <w:rsid w:val="6F534F3F"/>
    <w:rsid w:val="71F304DC"/>
    <w:rsid w:val="73102258"/>
    <w:rsid w:val="76126EAA"/>
    <w:rsid w:val="7915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3"/>
    <w:link w:val="19"/>
    <w:autoRedefine/>
    <w:qFormat/>
    <w:uiPriority w:val="9"/>
    <w:pPr>
      <w:keepNext/>
      <w:keepLines/>
      <w:spacing w:line="560" w:lineRule="exact"/>
      <w:ind w:firstLine="643" w:firstLineChars="200"/>
      <w:outlineLvl w:val="0"/>
    </w:pPr>
    <w:rPr>
      <w:rFonts w:eastAsia="方正黑体_GBK"/>
      <w:bCs/>
      <w:kern w:val="44"/>
      <w:szCs w:val="44"/>
    </w:rPr>
  </w:style>
  <w:style w:type="paragraph" w:styleId="3">
    <w:name w:val="heading 2"/>
    <w:basedOn w:val="1"/>
    <w:next w:val="1"/>
    <w:link w:val="21"/>
    <w:autoRedefine/>
    <w:unhideWhenUsed/>
    <w:qFormat/>
    <w:uiPriority w:val="9"/>
    <w:pPr>
      <w:keepNext/>
      <w:keepLines/>
      <w:spacing w:line="560" w:lineRule="exact"/>
      <w:ind w:firstLine="640" w:firstLineChars="200"/>
      <w:outlineLvl w:val="1"/>
    </w:pPr>
    <w:rPr>
      <w:rFonts w:eastAsia="方正楷体_GBK" w:asciiTheme="majorHAnsi" w:hAnsiTheme="majorHAnsi" w:cstheme="majorBidi"/>
      <w:bCs/>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semiHidden/>
    <w:unhideWhenUsed/>
    <w:qFormat/>
    <w:uiPriority w:val="99"/>
    <w:pPr>
      <w:jc w:val="left"/>
    </w:pPr>
  </w:style>
  <w:style w:type="paragraph" w:styleId="5">
    <w:name w:val="Body Text"/>
    <w:basedOn w:val="1"/>
    <w:link w:val="15"/>
    <w:autoRedefine/>
    <w:qFormat/>
    <w:uiPriority w:val="1"/>
    <w:pPr>
      <w:topLinePunct/>
      <w:autoSpaceDE w:val="0"/>
      <w:autoSpaceDN w:val="0"/>
      <w:spacing w:line="560" w:lineRule="exact"/>
      <w:ind w:firstLine="640" w:firstLineChars="200"/>
      <w:jc w:val="left"/>
    </w:pPr>
    <w:rPr>
      <w:rFonts w:ascii="方正仿宋_GBK" w:hAnsi="方正仿宋_GBK" w:cs="方正仿宋_GBK"/>
      <w:kern w:val="0"/>
      <w:sz w:val="28"/>
      <w:szCs w:val="32"/>
      <w:lang w:val="zh-CN" w:bidi="zh-CN"/>
    </w:rPr>
  </w:style>
  <w:style w:type="paragraph" w:styleId="6">
    <w:name w:val="Balloon Text"/>
    <w:basedOn w:val="1"/>
    <w:link w:val="22"/>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30"/>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customStyle="1" w:styleId="15">
    <w:name w:val="正文文本 Char"/>
    <w:basedOn w:val="13"/>
    <w:link w:val="5"/>
    <w:autoRedefine/>
    <w:qFormat/>
    <w:uiPriority w:val="1"/>
    <w:rPr>
      <w:rFonts w:ascii="方正仿宋_GBK" w:hAnsi="方正仿宋_GBK" w:cs="方正仿宋_GBK"/>
      <w:sz w:val="28"/>
      <w:szCs w:val="32"/>
      <w:lang w:val="zh-CN" w:bidi="zh-CN"/>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table" w:customStyle="1" w:styleId="18">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9">
    <w:name w:val="标题 1 Char"/>
    <w:basedOn w:val="13"/>
    <w:link w:val="2"/>
    <w:autoRedefine/>
    <w:qFormat/>
    <w:uiPriority w:val="9"/>
    <w:rPr>
      <w:rFonts w:eastAsia="方正黑体_GBK"/>
      <w:bCs/>
      <w:kern w:val="44"/>
      <w:sz w:val="32"/>
      <w:szCs w:val="44"/>
    </w:rPr>
  </w:style>
  <w:style w:type="paragraph" w:styleId="20">
    <w:name w:val="List Paragraph"/>
    <w:basedOn w:val="1"/>
    <w:autoRedefine/>
    <w:qFormat/>
    <w:uiPriority w:val="1"/>
    <w:pPr>
      <w:autoSpaceDE w:val="0"/>
      <w:autoSpaceDN w:val="0"/>
      <w:spacing w:before="44"/>
      <w:ind w:left="2212" w:hanging="333"/>
      <w:jc w:val="left"/>
    </w:pPr>
    <w:rPr>
      <w:rFonts w:ascii="方正仿宋_GBK" w:hAnsi="方正仿宋_GBK" w:cs="方正仿宋_GBK"/>
      <w:kern w:val="0"/>
      <w:sz w:val="22"/>
      <w:lang w:val="zh-CN" w:bidi="zh-CN"/>
    </w:rPr>
  </w:style>
  <w:style w:type="character" w:customStyle="1" w:styleId="21">
    <w:name w:val="标题 2 Char"/>
    <w:basedOn w:val="13"/>
    <w:link w:val="3"/>
    <w:autoRedefine/>
    <w:qFormat/>
    <w:uiPriority w:val="9"/>
    <w:rPr>
      <w:rFonts w:eastAsia="方正楷体_GBK" w:asciiTheme="majorHAnsi" w:hAnsiTheme="majorHAnsi" w:cstheme="majorBidi"/>
      <w:bCs/>
      <w:sz w:val="32"/>
      <w:szCs w:val="32"/>
    </w:rPr>
  </w:style>
  <w:style w:type="character" w:customStyle="1" w:styleId="22">
    <w:name w:val="批注框文本 Char"/>
    <w:basedOn w:val="13"/>
    <w:link w:val="6"/>
    <w:autoRedefine/>
    <w:semiHidden/>
    <w:qFormat/>
    <w:uiPriority w:val="99"/>
    <w:rPr>
      <w:kern w:val="2"/>
      <w:sz w:val="18"/>
      <w:szCs w:val="18"/>
    </w:rPr>
  </w:style>
  <w:style w:type="paragraph" w:customStyle="1" w:styleId="2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font21"/>
    <w:basedOn w:val="13"/>
    <w:autoRedefine/>
    <w:qFormat/>
    <w:uiPriority w:val="0"/>
    <w:rPr>
      <w:rFonts w:hint="eastAsia" w:ascii="方正仿宋_GBK" w:eastAsia="方正仿宋_GBK"/>
      <w:color w:val="000000"/>
      <w:sz w:val="24"/>
      <w:szCs w:val="24"/>
      <w:u w:val="none"/>
    </w:rPr>
  </w:style>
  <w:style w:type="character" w:customStyle="1" w:styleId="25">
    <w:name w:val="font11"/>
    <w:basedOn w:val="13"/>
    <w:autoRedefine/>
    <w:qFormat/>
    <w:uiPriority w:val="0"/>
    <w:rPr>
      <w:rFonts w:hint="default" w:ascii="Times New Roman" w:hAnsi="Times New Roman" w:cs="Times New Roman"/>
      <w:color w:val="000000"/>
      <w:sz w:val="24"/>
      <w:szCs w:val="24"/>
      <w:u w:val="none"/>
    </w:rPr>
  </w:style>
  <w:style w:type="paragraph" w:customStyle="1" w:styleId="26">
    <w:name w:val="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character" w:customStyle="1" w:styleId="27">
    <w:name w:val="font91"/>
    <w:basedOn w:val="13"/>
    <w:autoRedefine/>
    <w:qFormat/>
    <w:uiPriority w:val="0"/>
    <w:rPr>
      <w:rFonts w:hint="eastAsia" w:ascii="宋体" w:hAnsi="宋体" w:eastAsia="宋体"/>
      <w:color w:val="000000"/>
      <w:sz w:val="28"/>
      <w:szCs w:val="28"/>
      <w:u w:val="none"/>
    </w:rPr>
  </w:style>
  <w:style w:type="character" w:customStyle="1" w:styleId="28">
    <w:name w:val="font101"/>
    <w:basedOn w:val="13"/>
    <w:autoRedefine/>
    <w:qFormat/>
    <w:uiPriority w:val="0"/>
    <w:rPr>
      <w:rFonts w:hint="eastAsia" w:ascii="微软雅黑" w:hAnsi="微软雅黑" w:eastAsia="微软雅黑"/>
      <w:color w:val="000000"/>
      <w:sz w:val="28"/>
      <w:szCs w:val="28"/>
      <w:u w:val="none"/>
    </w:rPr>
  </w:style>
  <w:style w:type="character" w:customStyle="1" w:styleId="29">
    <w:name w:val="批注文字 Char"/>
    <w:basedOn w:val="13"/>
    <w:link w:val="4"/>
    <w:autoRedefine/>
    <w:semiHidden/>
    <w:qFormat/>
    <w:uiPriority w:val="99"/>
    <w:rPr>
      <w:kern w:val="2"/>
      <w:sz w:val="32"/>
      <w:szCs w:val="22"/>
    </w:rPr>
  </w:style>
  <w:style w:type="character" w:customStyle="1" w:styleId="30">
    <w:name w:val="批注主题 Char"/>
    <w:basedOn w:val="29"/>
    <w:link w:val="10"/>
    <w:autoRedefine/>
    <w:semiHidden/>
    <w:qFormat/>
    <w:uiPriority w:val="99"/>
    <w:rPr>
      <w:b/>
      <w:bCs/>
      <w:kern w:val="2"/>
      <w:sz w:val="32"/>
      <w:szCs w:val="22"/>
    </w:rPr>
  </w:style>
  <w:style w:type="character" w:customStyle="1" w:styleId="31">
    <w:name w:val="font31"/>
    <w:basedOn w:val="13"/>
    <w:autoRedefine/>
    <w:qFormat/>
    <w:uiPriority w:val="0"/>
    <w:rPr>
      <w:rFonts w:hint="default" w:ascii="Times New Roman" w:hAnsi="Times New Roman" w:cs="Times New Roman"/>
      <w:color w:val="000000"/>
      <w:sz w:val="22"/>
      <w:szCs w:val="22"/>
      <w:u w:val="none"/>
    </w:rPr>
  </w:style>
  <w:style w:type="character" w:customStyle="1" w:styleId="32">
    <w:name w:val="font61"/>
    <w:basedOn w:val="13"/>
    <w:autoRedefine/>
    <w:qFormat/>
    <w:uiPriority w:val="0"/>
    <w:rPr>
      <w:rFonts w:hint="eastAsia" w:ascii="方正仿宋_GBK" w:hAnsi="方正仿宋_GBK" w:eastAsia="方正仿宋_GBK" w:cs="方正仿宋_GBK"/>
      <w:color w:val="000000"/>
      <w:sz w:val="22"/>
      <w:szCs w:val="22"/>
      <w:u w:val="none"/>
    </w:rPr>
  </w:style>
  <w:style w:type="character" w:customStyle="1" w:styleId="33">
    <w:name w:val="font122"/>
    <w:basedOn w:val="13"/>
    <w:autoRedefine/>
    <w:qFormat/>
    <w:uiPriority w:val="0"/>
    <w:rPr>
      <w:rFonts w:hint="default" w:ascii="Times New Roman" w:hAnsi="Times New Roman" w:cs="Times New Roman"/>
      <w:color w:val="000000"/>
      <w:sz w:val="22"/>
      <w:szCs w:val="22"/>
      <w:u w:val="none"/>
    </w:rPr>
  </w:style>
  <w:style w:type="character" w:customStyle="1" w:styleId="34">
    <w:name w:val="font131"/>
    <w:basedOn w:val="13"/>
    <w:autoRedefine/>
    <w:qFormat/>
    <w:uiPriority w:val="0"/>
    <w:rPr>
      <w:rFonts w:hint="eastAsia" w:ascii="方正仿宋_GBK" w:hAnsi="方正仿宋_GBK" w:eastAsia="方正仿宋_GBK" w:cs="方正仿宋_GBK"/>
      <w:color w:val="000000"/>
      <w:sz w:val="22"/>
      <w:szCs w:val="22"/>
      <w:u w:val="none"/>
    </w:rPr>
  </w:style>
  <w:style w:type="character" w:customStyle="1" w:styleId="35">
    <w:name w:val="font01"/>
    <w:basedOn w:val="13"/>
    <w:autoRedefine/>
    <w:qFormat/>
    <w:uiPriority w:val="0"/>
    <w:rPr>
      <w:rFonts w:hint="eastAsia" w:ascii="宋体" w:hAnsi="宋体" w:eastAsia="宋体" w:cs="宋体"/>
      <w:color w:val="000000"/>
      <w:sz w:val="22"/>
      <w:szCs w:val="22"/>
      <w:u w:val="none"/>
    </w:rPr>
  </w:style>
  <w:style w:type="character" w:customStyle="1" w:styleId="36">
    <w:name w:val="font51"/>
    <w:basedOn w:val="13"/>
    <w:autoRedefine/>
    <w:qFormat/>
    <w:uiPriority w:val="0"/>
    <w:rPr>
      <w:rFonts w:hint="eastAsia" w:ascii="方正仿宋_GBK" w:hAnsi="方正仿宋_GBK" w:eastAsia="方正仿宋_GBK" w:cs="方正仿宋_GBK"/>
      <w:color w:val="000000"/>
      <w:sz w:val="21"/>
      <w:szCs w:val="21"/>
      <w:u w:val="none"/>
    </w:rPr>
  </w:style>
  <w:style w:type="character" w:customStyle="1" w:styleId="37">
    <w:name w:val="font71"/>
    <w:basedOn w:val="13"/>
    <w:autoRedefine/>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A6438-0D5A-46BD-A7A4-0A1A304AA17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21884</Words>
  <Characters>22922</Characters>
  <Lines>135</Lines>
  <Paragraphs>38</Paragraphs>
  <TotalTime>1</TotalTime>
  <ScaleCrop>false</ScaleCrop>
  <LinksUpToDate>false</LinksUpToDate>
  <CharactersWithSpaces>23006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2024-05-07T02:26:00Z</dcterms:created>
  <dc:creator>admin</dc:creator>
  <cp:lastModifiedBy>行走的于小洋</cp:lastModifiedBy>
  <cp:lastPrinted>2024-05-15T07:31:00Z</cp:lastPrinted>
  <dcterms:modified xsi:type="dcterms:W3CDTF">2024-05-22T08:20:27Z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94D81033E1E34DDAA868F369A1A768D5_13</vt:lpwstr>
  </property>
</Properties>
</file>