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000000"/>
          <w:spacing w:val="0"/>
          <w:sz w:val="28"/>
          <w:szCs w:val="28"/>
        </w:rPr>
      </w:pPr>
      <w:bookmarkStart w:id="0" w:name="_GoBack"/>
      <w:r>
        <w:rPr>
          <w:rStyle w:val="11"/>
          <w:rFonts w:hint="eastAsia" w:ascii="宋体" w:hAnsi="宋体" w:eastAsia="宋体" w:cs="宋体"/>
          <w:b/>
          <w:bCs/>
          <w:i w:val="0"/>
          <w:iCs w:val="0"/>
          <w:caps w:val="0"/>
          <w:color w:val="000000"/>
          <w:spacing w:val="0"/>
          <w:sz w:val="28"/>
          <w:szCs w:val="28"/>
        </w:rPr>
        <w:t>云南省空气质量持续改善行动实施方案</w:t>
      </w:r>
    </w:p>
    <w:bookmarkEnd w:id="0"/>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为全面贯彻落实《国务院关于印发〈空气质量持续改善行动计划〉的通知》（国发〔2023〕24号）精神，持续深入打好</w:t>
      </w:r>
      <w:r>
        <w:rPr>
          <w:rFonts w:hint="eastAsia" w:ascii="宋体" w:hAnsi="宋体" w:eastAsia="宋体" w:cs="宋体"/>
          <w:i w:val="0"/>
          <w:iCs w:val="0"/>
          <w:caps w:val="0"/>
          <w:color w:val="1565C0"/>
          <w:spacing w:val="0"/>
          <w:sz w:val="24"/>
          <w:szCs w:val="24"/>
          <w:u w:val="none"/>
        </w:rPr>
        <w:fldChar w:fldCharType="begin"/>
      </w:r>
      <w:r>
        <w:rPr>
          <w:rFonts w:hint="eastAsia" w:ascii="宋体" w:hAnsi="宋体" w:eastAsia="宋体" w:cs="宋体"/>
          <w:i w:val="0"/>
          <w:iCs w:val="0"/>
          <w:caps w:val="0"/>
          <w:color w:val="1565C0"/>
          <w:spacing w:val="0"/>
          <w:sz w:val="24"/>
          <w:szCs w:val="24"/>
          <w:u w:val="none"/>
        </w:rPr>
        <w:instrText xml:space="preserve"> HYPERLINK "https://huanbao.bjx.com.cn/topics/lantianbaoweizhan/" \t "https://huanbao.bjx.com.cn/news/20240507/_blank" </w:instrText>
      </w:r>
      <w:r>
        <w:rPr>
          <w:rFonts w:hint="eastAsia" w:ascii="宋体" w:hAnsi="宋体" w:eastAsia="宋体" w:cs="宋体"/>
          <w:i w:val="0"/>
          <w:iCs w:val="0"/>
          <w:caps w:val="0"/>
          <w:color w:val="1565C0"/>
          <w:spacing w:val="0"/>
          <w:sz w:val="24"/>
          <w:szCs w:val="24"/>
          <w:u w:val="none"/>
        </w:rPr>
        <w:fldChar w:fldCharType="separate"/>
      </w:r>
      <w:r>
        <w:rPr>
          <w:rStyle w:val="12"/>
          <w:rFonts w:hint="eastAsia" w:ascii="宋体" w:hAnsi="宋体" w:eastAsia="宋体" w:cs="宋体"/>
          <w:i w:val="0"/>
          <w:iCs w:val="0"/>
          <w:caps w:val="0"/>
          <w:color w:val="1565C0"/>
          <w:spacing w:val="0"/>
          <w:sz w:val="24"/>
          <w:szCs w:val="24"/>
          <w:u w:val="none"/>
        </w:rPr>
        <w:t>蓝天保卫战</w:t>
      </w:r>
      <w:r>
        <w:rPr>
          <w:rFonts w:hint="eastAsia" w:ascii="宋体" w:hAnsi="宋体" w:eastAsia="宋体" w:cs="宋体"/>
          <w:i w:val="0"/>
          <w:iCs w:val="0"/>
          <w:caps w:val="0"/>
          <w:color w:val="1565C0"/>
          <w:spacing w:val="0"/>
          <w:sz w:val="24"/>
          <w:szCs w:val="24"/>
          <w:u w:val="none"/>
        </w:rPr>
        <w:fldChar w:fldCharType="end"/>
      </w:r>
      <w:r>
        <w:rPr>
          <w:rFonts w:hint="eastAsia" w:ascii="宋体" w:hAnsi="宋体" w:eastAsia="宋体" w:cs="宋体"/>
          <w:i w:val="0"/>
          <w:iCs w:val="0"/>
          <w:caps w:val="0"/>
          <w:color w:val="000000"/>
          <w:spacing w:val="0"/>
          <w:sz w:val="24"/>
          <w:szCs w:val="24"/>
        </w:rPr>
        <w:t>，结合我省实际，制定本方案。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一、总体要求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坚持以习近平新时代中国特色社会主义思想为指导，全面贯彻党的二十大和二十届二中全会精神，深入贯彻习近平生态文明思想和习近平总书记考察云南重要讲话精神，落实全国和全省生态环境保护大会部署要求，坚持稳中求进工作总基调，坚持保护为先、治污为重、扩绿为基、转型为要、发展为本，以改善空气质量为核心，以解决人民群众身边的突出大气环境问题为重点，以降低细颗粒物（PM2.5）浓度为主线，大力推动氮氧化物和挥发性有机物（VOCs）减排；突出精准、科学、依法治污，推进产业、能源、交通绿色低碳转型，强化面源污染治理，加强源头防控，完善大气环境管理体系，加快形成绿色低碳生产生活方式，实现环境效益、经济效益和社会效益多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到2025年，州（市）政府所在地城市PM2.5浓度控制在20.5微克/立方米以内，不出现重度及以上污染天气；县级城市空气质量持续改善；氮氧化物、VOCs减排量达到国家要求。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二、优化产业结构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坚决遏制“两高一低”项目盲目上马。新改扩建项目严格落实国家和省产业规划、产业政策、生态环境分区管控方案、规划环评、项目环评、节能审查、产能置换、重点污染物总量控制、污染物排放区域削减、碳排放达峰目标等相关要求，原则上采用清洁运输方式。加快推进钢铁产业转型升级，鼓励钢铁、焦化、烧结一体化布局，减少独立焦化、烧结、球团和热轧企业及工序。到2025年，短流程炼钢产量占比达15%。</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推动落后产能退出。推动能耗、环保、质量、安全、技术达不到标准和生产不合格产品或淘汰类产能依法依规关停退出。不予审批限制类新建项目，按照国家要求对属于限制类的现有生产能力进行升级改造。</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（三）推动传统产业升级改造。中小型传统制造企业集中的城市要制定涉气产业发展规划，针对现有产业集中区域制定专项整治提升方案，依法淘汰关停一批、搬迁入园一批、就地改造一批、做优做强一批。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优化含VOCs原辅材料和产品结构。严格控制生产和使用高VOCs含量涂料、油墨、胶粘剂、清洗剂等建设项目，加大工业涂装、包装印刷和电子行业低（无）VOCs含量原辅材料替代力度。严格执行VOCs含量限值标准，室外构筑物防护和城市道路交通标志推广使用低（无）VOCs含量涂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推动绿色环保产业健康发展。支持培育一批低（无）VOCs含量原辅材料生产和使用、VOCs污染治理、超低排放、环境和大气成分监测等领域龙头企业。多措并举治理环保领域低价低质中标乱象，营造公平竞争环境，推动产业健康有序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三、优化能源结构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（六）大力发展新能源和清洁能源。到2025年，非化石能源消费比重较2020年提高4个百分点以上，电能占终端能源消费比重达30%以上。持续增加天然气生产供应，新增天然气优先保障居民生活和清洁取暖需求。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七）严格合理控制煤炭消费增长。有序推进煤炭消费减量替代。支持烟叶烘烤等农特产品加工燃煤设施实施清洁能源改造。对支撑电力稳定供应、电网安全运行、清洁能源大规模并网消纳的煤电项目及其用煤量应予以合理保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八）开展燃煤锅炉关停整合。县级及以上城市建成区原则上不再新建35蒸吨/小时及以下燃煤锅炉。依托电厂、大型工业企业开展远距离供热示范，淘汰管网覆盖范围内的燃煤锅炉和散煤。到2025年，PM2.5未达标城市基本淘汰10蒸吨/小时及以下燃煤锅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（九）推动工业炉窑清洁能源替代。有序推进以电代煤，积极稳妥推进以气代煤。对以煤、石油焦、渣油、重油等为燃料的工业炉窑，加快使用工业余热、电能、天然气等清洁能源进行替代。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四、优化交通结构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优化货物运输结构。大宗货物中长距离运输优先采用铁路、水路运输，短距离运输优先采用封闭式皮带廊道或新能源车船。到2025年，铁路、水路货运量比2020年分别增长10%和40%。加强铁路专用线和联运转运衔接设施建设，充分发挥既有线路效能。新建及迁建大宗货物年运量150万吨以上的物流园区、工矿企业和储煤基地，原则上接入铁路专用线或管道。</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一）加快机动车清洁化进程。在火电、钢铁、煤炭、焦化、有色、水泥等行业和物流园区推广新能源中重型货车，发展零排放货运车队。力争到2025年，实现高速公路服务区快充站基本覆盖。强化新生产机动车监督抽查，实现系族全覆盖。全面实施汽车排放检验与维护制度，强化对车检机构的监管执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二）加大非道路移动源治理力度。加快铁路货场、物流园区、港口、机场、工矿企业内部作业车辆和机械新能源更新改造。推广使用新能源和清洁能源船舶，提高岸电使用率。鼓励推广新能源铁路装备。到2025年，基本消除非道路移动机械、船舶“冒黑烟”现象，基本淘汰第一阶段及以下排放标准的非道路移动机械；年旅客吞吐量500万人次以上的机场，桥电使用率达到95%以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（十三）全面保障成品油质量。加强油品全环节监管，坚决打击将非标油品作为发动机燃料销售等行为。提升货车、非道路移动机械、船舶油箱中柴油抽测频次，加大查处力度。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五、提升面源污染治理精细化水平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四）持续推动扬尘污染治理管控。严格落实建筑施工工地“六个百分之百”要求，对城市公共裸地进行排查建档并采取防尘措施。到2025年，城镇装配式建筑和采用装配式技术体系建筑占新开工建筑面积比重达30%；昆明市主城区道路机械化清扫率达90%左右，其他地级城市建成区达85%左右，县城达70%左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（十五）加强矿山生态环境综合整治。新建矿山原则上同步建设铁路专用线或采用其他清洁运输方式。对限期整改仍不达标的矿山，根据安全生产、水土保持、生态环境等要求依法关闭。</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六）加大秸秆综合利用和焚烧管控力度。全面推进秸秆综合利用。健全秸秆收储运服务体系，提升产业化能力。全省秸秆综合利用率稳定在87%以上。结合实际对秸秆禁烧范围等作出具体规定，完善网格化监管体系，开展秸秆焚烧重点时段专项巡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六、强化多污染物减排</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七）加强VOCs全过程综合治理。污水处理场所高浓度有机废气要单独收集处理；含VOCs有机废水储罐、装置区集水井（池）有机废气要密闭收集处理。研究建立全省统一的泄漏检测与修复信息管理平台。及时收集处理企业开停工、检维修期间退料、清洗、吹扫等作业产生的VOCs废气。</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八）推进重点行业污染深度治理。高质量推进钢铁、水泥、焦化等重点行业及燃煤锅炉超低排放改造。到2025年，全省80%以上的钢铁产能完成超低排放改造，力争50%以上的水泥熟料产能、合规焦化产能完成超低排放改造。推进玻璃、石灰、矿棉、有色等行业深度治理。强化治污设施运行维护，减少非正常工况排放。重点涉气企业逐步取消烟气和含VOCs废气旁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九）深入治理餐饮油烟和恶臭异味。严格居民楼附近餐饮服务单位布局管理。拟开设餐饮服务单位的建筑应设计建设专用烟道。加强对恶臭异味扰民问题的排查整治，投诉集中的工业园区、重点企业要安装运行在线监测系统。因地制宜解决人民群众反映集中的露天烧烤、油烟及恶臭异味扰民问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十）推进大气氨污染防控。推广低蛋白日粮技术，在适宜地区推广氮肥机械深施。开展畜禽养殖标准化示范创建，鼓励生猪、鸡等圈舍及粪污输送、存储、处理设施封闭管理。加强氮肥、纯碱等行业大气氨排放治理，强化工业源烟气氨逃逸防控。</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七、完善大气环境管理体系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十一）加强城市空气质量管理。空气质量未达标城市制定限期达标规划，已达标城市持续巩固提升空气质量。完善网格化动态监管机制，实现PM2.5精细化管控，抓好氮氧化物和VOCs协同减排，持续推进PM2.5和臭氧污染协同控制。到2025年，臭氧前体物氮氧化物和VOCs协同控制取得积极成效，全省臭氧浓度增长趋势得到有效遏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十二）强化大气污染联防联控。建立健全滇中、滇南、滇东南区域大气污染联防联控机制，构建协作体系。冬春季聚焦PM2.5、夏秋季聚焦PM2.5和臭氧，开展集中联合攻坚。对省界两侧20公里内的涉气重点行业新建项目，以及对下风向空气质量影响大的新建高架源项目，与有关省份开展环评一致性会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十三）完善重污染天气应对机制。建立健全省市县三级重污染天气应急预案体系，明确各级政府部门责任分工，规范重污染天气预警启动、响应、解除工作流程。鼓励重点行业企业开展绩效等级提升行动。结合排污许可制度，确保应急减排清单覆盖所有涉气企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八、加强能力建设和执法监督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十四）提升监测监控能力。完善城市空气质量监测网络，推动生物质焚烧气象、空气质量等监测网络建设。州（市）政府所在地城市开展非甲烷总烃监测，推动昆明、曲靖等VOCs排放量较高的城市开展光化学监测。鼓励开展颗粒物组分监测和污染成因解析。州（市）政府所在地城市生态环境部门定期更新大气环境重点排污单位名录，确保符合条件的企业全覆盖。推动企业安装工况监控、用电（用能）监控、视频监控等。加强移动源监管能力建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十五）强化监管执法。拓展非现场监管手段应用，提升各级生态环境部门执法监测能力。加强重点领域监督执法，对参与弄虚作假的排污单位和第三方机构、人员依法追究责任，涉嫌犯罪的依法移送司法机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十六）加强决策科技支撑。推动VOCs等大气污染物综合治理关键技术研发，加强多污染物系统治理、低温脱硝、氨逃逸精准调控等技术和装备的研发应用。到2025年，州（市）政府所在地城市完成大气污染物与温室气体融合排放清单编制，并定期更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九、健全法规政策体系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十七）完善法规和标准体系。有序推进大气污染防治地方立法工作。结合实际，推动云南省天然生胶恶臭治理技术及行业污染物排放标准、工业硅废气治理技术规范、石墨坩埚行业大气污染物排放标准等地方标准制定工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十八）落实价格税费激励约束政策。落实国家峰谷分时电价、高耗能行业阶梯电价、港口岸基供电支持性电价、清洁取暖“煤改电”及采暖用电销售侧峰谷电价、清洁取暖气价等政策。鼓励对新能源城市公共汽电车充电给予积极支持。按照国家要求落实铁路运价调整机制、“一口价”收费政策，推行“量价互保”协议运输模式。对符合超低排放条件的钢铁、水泥、焦化等企业落实税收优惠政策，按照国家部署将VOCs纳入环境保护税征收范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十九）积极发挥财政金融引导作用。对减污降碳协同项目予以倾斜。按照市场化方式加大传统产业及集群升级、工业污染治理、铁路专用线建设、新能源铁路装备推广等领域信贷融资支持力度，引导社会资本投入。按照要求对银行业金融机构开展绿色金融评价，积极支持符合条件的企业、金融机构发行绿色债券，提高绿色债券发行质量和信息披露水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十、加强组织实施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十）强化组织领导。坚持和加强党对大气污染防治工作的全面领导。各级政府对本行政区域内空气质量负总责，组织制定本地实施方案。省生态环境厅要加强统筹协调，做好调度评估。省直有关部门要协同配合落实任务分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十一）严格监督考核。将空气质量改善目标完成情况作为深入打好污染防治攻坚战成效考核的重要内容。对超额完成目标的州（市）给予激励；对未完成目标的州（市），从资金分配、项目审批、荣誉表彰、责任追究等方面实施惩戒；对问题突出的州（市），视情组织开展专项督察。加强对重点州（市）的监督帮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十二）推进信息公开。加大环境空气质量信息公开力度。将排污单位和第三方治理、运维、检测机构弄虚作假行为纳入信用记录。重点排污单位及时公布自行监测和污染排放数据、污染治理措施、环保违法处罚及整改等信息。机动车和非道路移动机械生产、进口企业依法公开排放检验、污染控制技术等环保信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（三十三）加强宣传和交流合作。广泛宣传相关政策举措，普及大气环境与健康知识，提升公民大气环境保护意识与健康素养。积极参与大气环境保护国际交流和省际合作。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三十四）实施全民行动。动员社会各界广泛参与大气环境保护。政府带头开展绿色采购。完善举报奖励机制，鼓励公众提供环境违法行为线索。省属企业带头引导绿色生产，推进治污减排。强化公民环境意识，推动形成简约适度、绿色低碳、文明健康的生活方式，共同改善空气质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 w:name="KSO_WPS_MARK_KEY" w:val="767abf4c-bc00-44d0-b23d-48add6ed55ad"/>
  </w:docVars>
  <w:rsids>
    <w:rsidRoot w:val="4B801470"/>
    <w:rsid w:val="08342A19"/>
    <w:rsid w:val="162E7527"/>
    <w:rsid w:val="18322F86"/>
    <w:rsid w:val="19C83F1E"/>
    <w:rsid w:val="1C8D0257"/>
    <w:rsid w:val="28F94FC1"/>
    <w:rsid w:val="2C306FA6"/>
    <w:rsid w:val="3F836A3B"/>
    <w:rsid w:val="4B801470"/>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6"/>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7"/>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uiPriority w:val="0"/>
    <w:rPr>
      <w:color w:val="0000FF"/>
      <w:u w:val="single"/>
    </w:rPr>
  </w:style>
  <w:style w:type="paragraph" w:customStyle="1" w:styleId="13">
    <w:name w:val="样式1"/>
    <w:basedOn w:val="4"/>
    <w:next w:val="1"/>
    <w:qFormat/>
    <w:uiPriority w:val="0"/>
    <w:pPr>
      <w:spacing w:line="240" w:lineRule="auto"/>
      <w:jc w:val="left"/>
    </w:pPr>
    <w:rPr>
      <w:rFonts w:ascii="Times New Roman" w:hAnsi="Times New Roman" w:eastAsia="宋体" w:cs="Times New Roman"/>
      <w:szCs w:val="32"/>
    </w:rPr>
  </w:style>
  <w:style w:type="paragraph" w:customStyle="1" w:styleId="14">
    <w:name w:val="样式2"/>
    <w:basedOn w:val="4"/>
    <w:next w:val="1"/>
    <w:qFormat/>
    <w:uiPriority w:val="0"/>
    <w:pPr>
      <w:spacing w:line="240" w:lineRule="auto"/>
      <w:jc w:val="left"/>
    </w:pPr>
    <w:rPr>
      <w:rFonts w:ascii="Times New Roman" w:hAnsi="Times New Roman" w:eastAsia="宋体" w:cs="Times New Roman"/>
      <w:sz w:val="30"/>
      <w:szCs w:val="32"/>
    </w:rPr>
  </w:style>
  <w:style w:type="paragraph" w:customStyle="1" w:styleId="15">
    <w:name w:val="样式3"/>
    <w:basedOn w:val="4"/>
    <w:next w:val="1"/>
    <w:qFormat/>
    <w:uiPriority w:val="0"/>
    <w:pPr>
      <w:spacing w:line="240" w:lineRule="auto"/>
      <w:jc w:val="left"/>
    </w:pPr>
    <w:rPr>
      <w:rFonts w:ascii="Times New Roman" w:hAnsi="Times New Roman" w:eastAsia="宋体" w:cs="Times New Roman"/>
      <w:sz w:val="28"/>
      <w:szCs w:val="32"/>
    </w:rPr>
  </w:style>
  <w:style w:type="character" w:customStyle="1" w:styleId="16">
    <w:name w:val="标题 2 Char"/>
    <w:link w:val="3"/>
    <w:qFormat/>
    <w:uiPriority w:val="0"/>
    <w:rPr>
      <w:rFonts w:ascii="Arial" w:hAnsi="Arial" w:eastAsia="宋体" w:cs="Times New Roman"/>
      <w:b/>
      <w:kern w:val="0"/>
      <w:sz w:val="28"/>
    </w:rPr>
  </w:style>
  <w:style w:type="character" w:customStyle="1" w:styleId="17">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2024-05-08T08:38:00Z</dcterms:created>
  <dc:creator>蝶恋花</dc:creator>
  <cp:lastModifiedBy>蝶恋花</cp:lastModifiedBy>
  <dcterms:modified xsi:type="dcterms:W3CDTF">2024-05-08T08:39:24Z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2630F3E63F7F4B149167037F4CA41BED_11</vt:lpwstr>
  </property>
</Properties>
</file>