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微软雅黑" w:hAnsi="微软雅黑" w:eastAsia="微软雅黑" w:cs="微软雅黑"/>
          <w:i w:val="0"/>
          <w:iCs w:val="0"/>
          <w:caps w:val="0"/>
          <w:color w:val="000000"/>
          <w:spacing w:val="0"/>
          <w:sz w:val="35"/>
          <w:szCs w:val="35"/>
        </w:rPr>
        <w:t>关于公开征求《温州市生态环境系统轻微违法行为减轻处罚清单（征求意见稿</w:t>
      </w:r>
      <w:bookmarkStart w:id="0" w:name="_GoBack"/>
      <w:bookmarkEnd w:id="0"/>
      <w:r>
        <w:rPr>
          <w:rFonts w:hint="eastAsia" w:ascii="微软雅黑" w:hAnsi="微软雅黑" w:eastAsia="微软雅黑" w:cs="微软雅黑"/>
          <w:i w:val="0"/>
          <w:iCs w:val="0"/>
          <w:caps w:val="0"/>
          <w:color w:val="000000"/>
          <w:spacing w:val="0"/>
          <w:sz w:val="35"/>
          <w:szCs w:val="35"/>
        </w:rPr>
        <w:t>）》意见的通知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54545"/>
          <w:spacing w:val="0"/>
          <w:sz w:val="21"/>
          <w:szCs w:val="21"/>
        </w:rPr>
      </w:pPr>
      <w:r>
        <w:rPr>
          <w:rFonts w:hint="eastAsia" w:ascii="微软雅黑" w:hAnsi="微软雅黑" w:eastAsia="微软雅黑" w:cs="微软雅黑"/>
          <w:i w:val="0"/>
          <w:iCs w:val="0"/>
          <w:caps w:val="0"/>
          <w:color w:val="454545"/>
          <w:spacing w:val="0"/>
          <w:sz w:val="21"/>
          <w:szCs w:val="21"/>
          <w:bdr w:val="none" w:color="auto" w:sz="0" w:space="0"/>
        </w:rPr>
        <w:t>关于公开征求《温州市生态环境系统轻微违法行为减轻处罚清单（征求意见稿）》意见的通知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454545"/>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54545"/>
          <w:spacing w:val="0"/>
          <w:sz w:val="21"/>
          <w:szCs w:val="21"/>
        </w:rPr>
      </w:pPr>
      <w:r>
        <w:rPr>
          <w:rFonts w:hint="eastAsia" w:ascii="微软雅黑" w:hAnsi="微软雅黑" w:eastAsia="微软雅黑" w:cs="微软雅黑"/>
          <w:i w:val="0"/>
          <w:iCs w:val="0"/>
          <w:caps w:val="0"/>
          <w:color w:val="454545"/>
          <w:spacing w:val="0"/>
          <w:sz w:val="21"/>
          <w:szCs w:val="21"/>
          <w:bdr w:val="none" w:color="auto" w:sz="0" w:space="0"/>
        </w:rPr>
        <w:t>为深化生态环境领域包容审慎监管，充分体现合法、合理、过罚相当等行政处罚基本原则，打造公平、公正的良好法治化营商环境，促进经济高质量发展，根据《中华人民共和国行政处罚法》《生态环境行政处罚办法》等法律法规，结合我市实际工作，市生态环境局牵头起草了《温州市生态环境系统轻微违法行为减轻处罚清单（征求意见稿）》，现公开征求意见。如有意见或建议，请于2023年11月22日前反馈至温州市生态环境局政策法规处，联系电话88367867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54545"/>
          <w:spacing w:val="0"/>
          <w:sz w:val="21"/>
          <w:szCs w:val="21"/>
        </w:rPr>
      </w:pPr>
      <w:r>
        <w:rPr>
          <w:rFonts w:hint="eastAsia" w:ascii="微软雅黑" w:hAnsi="微软雅黑" w:eastAsia="微软雅黑" w:cs="微软雅黑"/>
          <w:i w:val="0"/>
          <w:iCs w:val="0"/>
          <w:caps w:val="0"/>
          <w:color w:val="454545"/>
          <w:spacing w:val="0"/>
          <w:sz w:val="21"/>
          <w:szCs w:val="21"/>
          <w:bdr w:val="none" w:color="auto" w:sz="0" w:space="0"/>
        </w:rPr>
        <w:t>附件：《温州市生态环境系统轻微违法行为减轻处罚清单（征求意见稿）》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454545"/>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54545"/>
          <w:spacing w:val="0"/>
          <w:sz w:val="21"/>
          <w:szCs w:val="21"/>
        </w:rPr>
      </w:pPr>
      <w:r>
        <w:rPr>
          <w:rFonts w:hint="eastAsia" w:ascii="微软雅黑" w:hAnsi="微软雅黑" w:eastAsia="微软雅黑" w:cs="微软雅黑"/>
          <w:i w:val="0"/>
          <w:iCs w:val="0"/>
          <w:caps w:val="0"/>
          <w:color w:val="454545"/>
          <w:spacing w:val="0"/>
          <w:sz w:val="21"/>
          <w:szCs w:val="21"/>
          <w:bdr w:val="none" w:color="auto" w:sz="0" w:space="0"/>
        </w:rPr>
        <w:t>温州市生态环境局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54545"/>
          <w:spacing w:val="0"/>
          <w:sz w:val="21"/>
          <w:szCs w:val="21"/>
        </w:rPr>
      </w:pPr>
      <w:r>
        <w:rPr>
          <w:rFonts w:hint="eastAsia" w:ascii="微软雅黑" w:hAnsi="微软雅黑" w:eastAsia="微软雅黑" w:cs="微软雅黑"/>
          <w:i w:val="0"/>
          <w:iCs w:val="0"/>
          <w:caps w:val="0"/>
          <w:color w:val="454545"/>
          <w:spacing w:val="0"/>
          <w:sz w:val="21"/>
          <w:szCs w:val="21"/>
          <w:bdr w:val="none" w:color="auto" w:sz="0" w:space="0"/>
        </w:rPr>
        <w:t>2023年11月13日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454545"/>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54545"/>
          <w:spacing w:val="0"/>
          <w:sz w:val="21"/>
          <w:szCs w:val="21"/>
        </w:rPr>
      </w:pPr>
      <w:r>
        <w:rPr>
          <w:rFonts w:hint="eastAsia" w:ascii="微软雅黑" w:hAnsi="微软雅黑" w:eastAsia="微软雅黑" w:cs="微软雅黑"/>
          <w:i w:val="0"/>
          <w:iCs w:val="0"/>
          <w:caps w:val="0"/>
          <w:color w:val="454545"/>
          <w:spacing w:val="0"/>
          <w:sz w:val="21"/>
          <w:szCs w:val="21"/>
          <w:bdr w:val="none" w:color="auto" w:sz="0" w:space="0"/>
        </w:rPr>
        <w:t>温州市生态环境系统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54545"/>
          <w:spacing w:val="0"/>
          <w:sz w:val="21"/>
          <w:szCs w:val="21"/>
        </w:rPr>
      </w:pPr>
      <w:r>
        <w:rPr>
          <w:rFonts w:hint="eastAsia" w:ascii="微软雅黑" w:hAnsi="微软雅黑" w:eastAsia="微软雅黑" w:cs="微软雅黑"/>
          <w:i w:val="0"/>
          <w:iCs w:val="0"/>
          <w:caps w:val="0"/>
          <w:color w:val="454545"/>
          <w:spacing w:val="0"/>
          <w:sz w:val="21"/>
          <w:szCs w:val="21"/>
          <w:bdr w:val="none" w:color="auto" w:sz="0" w:space="0"/>
        </w:rPr>
        <w:t>轻微违法行为减轻处罚清单（征求意见稿）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454545"/>
          <w:spacing w:val="0"/>
          <w:sz w:val="21"/>
          <w:szCs w:val="21"/>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2"/>
        <w:gridCol w:w="383"/>
        <w:gridCol w:w="630"/>
        <w:gridCol w:w="2704"/>
        <w:gridCol w:w="2011"/>
        <w:gridCol w:w="2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 w:hRule="atLeast"/>
        </w:trPr>
        <w:tc>
          <w:tcPr>
            <w:tcW w:w="355" w:type="pct"/>
            <w:tcBorders>
              <w:top w:val="single" w:color="000000" w:sz="6" w:space="0"/>
              <w:left w:val="single" w:color="000000" w:sz="6" w:space="0"/>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序号</w:t>
            </w:r>
          </w:p>
        </w:tc>
        <w:tc>
          <w:tcPr>
            <w:tcW w:w="230" w:type="pct"/>
            <w:tcBorders>
              <w:top w:val="single" w:color="000000" w:sz="6" w:space="0"/>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类别</w:t>
            </w:r>
          </w:p>
        </w:tc>
        <w:tc>
          <w:tcPr>
            <w:tcW w:w="378" w:type="pct"/>
            <w:tcBorders>
              <w:top w:val="single" w:color="000000" w:sz="6" w:space="0"/>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事项名称</w:t>
            </w:r>
          </w:p>
        </w:tc>
        <w:tc>
          <w:tcPr>
            <w:tcW w:w="1622" w:type="pct"/>
            <w:tcBorders>
              <w:top w:val="single" w:color="000000" w:sz="6" w:space="0"/>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法律依据</w:t>
            </w:r>
          </w:p>
        </w:tc>
        <w:tc>
          <w:tcPr>
            <w:tcW w:w="1206" w:type="pct"/>
            <w:tcBorders>
              <w:top w:val="single" w:color="000000" w:sz="6" w:space="0"/>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适用条件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（同时符合以下条件）</w:t>
            </w:r>
          </w:p>
        </w:tc>
        <w:tc>
          <w:tcPr>
            <w:tcW w:w="1206" w:type="pct"/>
            <w:tcBorders>
              <w:top w:val="single" w:color="000000" w:sz="6" w:space="0"/>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裁量数额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5" w:hRule="atLeast"/>
        </w:trPr>
        <w:tc>
          <w:tcPr>
            <w:tcW w:w="355" w:type="pct"/>
            <w:tcBorders>
              <w:top w:val="nil"/>
              <w:left w:val="single" w:color="000000" w:sz="6" w:space="0"/>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w:t>
            </w:r>
          </w:p>
        </w:tc>
        <w:tc>
          <w:tcPr>
            <w:tcW w:w="230"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项目</w:t>
            </w:r>
          </w:p>
        </w:tc>
        <w:tc>
          <w:tcPr>
            <w:tcW w:w="378"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对违反“三同时”验收制度的行政处罚</w:t>
            </w:r>
          </w:p>
        </w:tc>
        <w:tc>
          <w:tcPr>
            <w:tcW w:w="1622"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《建设项目环境保护管理条例》第二十三条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 应当编制环境影响报告表的建设项目，执法检查前已委托编制；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 配套环境保护设施已完成建设并正常运行；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3. 在责令改正期限内通过环评审批且配套环境保护设施验收合格。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减轻法定最低罚款数额的50%。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5" w:hRule="atLeast"/>
        </w:trPr>
        <w:tc>
          <w:tcPr>
            <w:tcW w:w="355" w:type="pct"/>
            <w:tcBorders>
              <w:top w:val="nil"/>
              <w:left w:val="single" w:color="000000" w:sz="6" w:space="0"/>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w:t>
            </w:r>
          </w:p>
        </w:tc>
        <w:tc>
          <w:tcPr>
            <w:tcW w:w="230"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水</w:t>
            </w:r>
          </w:p>
        </w:tc>
        <w:tc>
          <w:tcPr>
            <w:tcW w:w="378"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对超标排放水污染物的行政处罚</w:t>
            </w:r>
          </w:p>
        </w:tc>
        <w:tc>
          <w:tcPr>
            <w:tcW w:w="1622"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1.《中华人民共和国水污染防治法》第八十三条第二项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2.《排污许可管理条例》第三十四条第一项  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 仅1项水污染物超标（超许可浓度）；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 仅限排向污水处理厂；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3. 超标（超许可浓度）的水污染物非《最高人民法院最高人民检察院关于办理环境污染刑事案件适用法律若干问题的解释》所涉及含重金属的污染物；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4. 初次违法，且及时改正。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1.符合下列情形之一的，减轻法定最低罚款数额的25%：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 超标不足10%；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 5.6≤pH＜5.8，或者 9.2＜pH≤9.4；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(3) 色度稀释倍数不足4倍。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2.符合下列情形之一的，减轻法定最低罚款数额的50%：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 超标不足5%；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 5.8≤pH＜6，或者 9＜pH≤9.2；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(3) 色度稀释倍数不足2倍。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3" w:hRule="atLeast"/>
        </w:trPr>
        <w:tc>
          <w:tcPr>
            <w:tcW w:w="355" w:type="pct"/>
            <w:tcBorders>
              <w:top w:val="nil"/>
              <w:left w:val="single" w:color="000000" w:sz="6" w:space="0"/>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3</w:t>
            </w:r>
          </w:p>
        </w:tc>
        <w:tc>
          <w:tcPr>
            <w:tcW w:w="230"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大气</w:t>
            </w:r>
          </w:p>
        </w:tc>
        <w:tc>
          <w:tcPr>
            <w:tcW w:w="378"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对超标排放大气污染物的行政处罚</w:t>
            </w:r>
          </w:p>
        </w:tc>
        <w:tc>
          <w:tcPr>
            <w:tcW w:w="1622"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1.《中华人民共和国大气污染防治法》第九十九条第二项  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2.《排污许可管理条例》第三十四条第一项  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 仅1项大气污染物超标；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 超标的大气污染物未纳入《有毒有害大气污染物名录》；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3. 初次发生，且及时改正。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1.超标幅度超过15%且在20%以内的，减轻法定最低罚款数额的25%。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2.超标幅度超过10%且在15%以内的，减轻法定最低罚款数额的50%。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5" w:type="pct"/>
            <w:tcBorders>
              <w:top w:val="nil"/>
              <w:left w:val="single" w:color="000000" w:sz="6" w:space="0"/>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4</w:t>
            </w:r>
          </w:p>
        </w:tc>
        <w:tc>
          <w:tcPr>
            <w:tcW w:w="230"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固废</w:t>
            </w:r>
          </w:p>
        </w:tc>
        <w:tc>
          <w:tcPr>
            <w:tcW w:w="378"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对未按照国家标准贮存或者将危险废物混入非危险废物中贮存的</w:t>
            </w:r>
          </w:p>
        </w:tc>
        <w:tc>
          <w:tcPr>
            <w:tcW w:w="1622"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《中华人民共和国固体废物污染环境防治法》第一百一十二条第一款第六项 违反本法规定，有下列行为之一，由生态环境主管部门责令改正，处以罚款，没收违法所得；情节严重的，报经有批准权的人民政府批准，可以责令停业或者关闭：（六）未按照国家环境保护标准贮存、利用、处置危险废物或者将危险废物混入非危险废物中贮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1.未按照国家标准贮存或者将危险废物（不含废弃剧毒化学品、医疗废物、实验室产生的危险废物、易燃易爆危险废物）混入非危险废物中贮存，未导致危险特性扩散到非危险废物中；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2.初次违法，且及时改正。</w:t>
            </w: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1.涉案危废数量大于50千克且小于等于100千克的，减轻法定最低罚款数额的25%。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2.涉案危废数量大于10千克且小于等于50千克的，减轻法定最低罚款数额的50%。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（备注：危废数量在10千克以下属于不予处罚清单情形）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07" w:hRule="atLeast"/>
        </w:trPr>
        <w:tc>
          <w:tcPr>
            <w:tcW w:w="355" w:type="pct"/>
            <w:tcBorders>
              <w:top w:val="nil"/>
              <w:left w:val="single" w:color="000000" w:sz="6" w:space="0"/>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5</w:t>
            </w:r>
          </w:p>
        </w:tc>
        <w:tc>
          <w:tcPr>
            <w:tcW w:w="230"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固废</w:t>
            </w:r>
          </w:p>
        </w:tc>
        <w:tc>
          <w:tcPr>
            <w:tcW w:w="378"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对擅自堆放工业固体废物的行政处罚</w:t>
            </w:r>
          </w:p>
        </w:tc>
        <w:tc>
          <w:tcPr>
            <w:tcW w:w="1622"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《中华人民共和国固体废物污染环境防治法》第一百零二条第一款第七项 违反本法规定，有下列行为之一，由生态环境主管部门责令改正，处以罚款，没收违法所得；情节严重的，报经有批准权的人民政府批准，可以责令停业或者关闭：（七）擅自倾倒、堆放、丢弃、遗撒工业固体废物，或者未采取相应防范措施，造成工业固体废物扬散、流失、渗漏或者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1.堆放（占地）面积总和不超过30平方米；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2.初次违法，且及时改正；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3.未造成工业固体废物流失、渗漏等环境污染后果。</w:t>
            </w: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1.涉案工业固体废物数量大于10千克且小于等于100千克的，减轻法定最低罚款数额的25%。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2.涉案工业固体废物数量在10千克以下的，减轻法定最低罚款数额的50%。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9" w:hRule="atLeast"/>
        </w:trPr>
        <w:tc>
          <w:tcPr>
            <w:tcW w:w="355" w:type="pct"/>
            <w:tcBorders>
              <w:top w:val="nil"/>
              <w:left w:val="single" w:color="000000" w:sz="6" w:space="0"/>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6</w:t>
            </w:r>
          </w:p>
        </w:tc>
        <w:tc>
          <w:tcPr>
            <w:tcW w:w="230"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固废</w:t>
            </w:r>
          </w:p>
        </w:tc>
        <w:tc>
          <w:tcPr>
            <w:tcW w:w="378"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对擅自堆放危险废物的行政处罚</w:t>
            </w:r>
          </w:p>
        </w:tc>
        <w:tc>
          <w:tcPr>
            <w:tcW w:w="1622"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《中华人民共和国固体废物污染环境防治法》第一百一十二条第一款第三项 违反本法规定，有下列行为之一，由生态环境主管部门责令改正，处以罚款，没收违法所得；情节严重的，报经有批准权的人民政府批准，可以责令停业或者关闭：（三）擅自倾倒、堆放危险废物的；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1.堆放（占地）面积总和不超过10平方米；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2.初次违法，且及时改正；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3.未造成危废流失、渗漏等环境污染后果。</w:t>
            </w: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1.涉案危废数量在100千克以下的，减轻法定最低罚款数额的25%。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2.涉案危废数量在10千克以下的，减轻法定最低罚款数额的50%。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4" w:hRule="atLeast"/>
        </w:trPr>
        <w:tc>
          <w:tcPr>
            <w:tcW w:w="355" w:type="pct"/>
            <w:tcBorders>
              <w:top w:val="nil"/>
              <w:left w:val="single" w:color="000000" w:sz="6" w:space="0"/>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7</w:t>
            </w:r>
          </w:p>
        </w:tc>
        <w:tc>
          <w:tcPr>
            <w:tcW w:w="230"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噪声</w:t>
            </w:r>
          </w:p>
        </w:tc>
        <w:tc>
          <w:tcPr>
            <w:tcW w:w="378"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对超标排放噪声的行政处罚</w:t>
            </w:r>
          </w:p>
        </w:tc>
        <w:tc>
          <w:tcPr>
            <w:tcW w:w="1622"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《中华人民共和国噪声污染防治法》第七十五条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初次违法，且及时改正。</w:t>
            </w:r>
          </w:p>
        </w:tc>
        <w:tc>
          <w:tcPr>
            <w:tcW w:w="1206" w:type="pct"/>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1.超标幅度超过2分贝但在3分贝以内，减轻法定最低罚款数额的25%。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default" w:ascii="Times New Roman" w:hAnsi="Times New Roman" w:cs="Times New Roman"/>
                <w:sz w:val="21"/>
                <w:szCs w:val="21"/>
                <w:bdr w:val="none" w:color="auto" w:sz="0" w:space="0"/>
              </w:rPr>
              <w:t>2.超标幅度超过1分贝但在2分贝以内，减轻法定最低罚款数额的50%。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454545"/>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454545"/>
          <w:spacing w:val="0"/>
          <w:sz w:val="21"/>
          <w:szCs w:val="21"/>
        </w:rPr>
      </w:pPr>
      <w:r>
        <w:rPr>
          <w:rFonts w:hint="eastAsia" w:ascii="微软雅黑" w:hAnsi="微软雅黑" w:eastAsia="微软雅黑" w:cs="微软雅黑"/>
          <w:i w:val="0"/>
          <w:iCs w:val="0"/>
          <w:caps w:val="0"/>
          <w:color w:val="454545"/>
          <w:spacing w:val="0"/>
          <w:sz w:val="21"/>
          <w:szCs w:val="21"/>
          <w:bdr w:val="none" w:color="auto" w:sz="0" w:space="0"/>
        </w:rPr>
        <w:t>注：清单中的“以内”均包含本数。</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96A708B"/>
    <w:rsid w:val="42A25B84"/>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柠</cp:lastModifiedBy>
  <dcterms:modified xsi:type="dcterms:W3CDTF">2023-11-16T03:35:39Z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62CC98CCAEC340EF8FF07587FBA51F7C</vt:lpwstr>
  </property>
</Properties>
</file>