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1" w:lineRule="atLeast"/>
        <w:ind w:left="0" w:right="0" w:firstLine="0"/>
        <w:jc w:val="center"/>
        <w:rPr>
          <w:rFonts w:hint="eastAsia"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六安市生态环境局关于印发《2023年全市辐射环境监测方案》的通知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六环函</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187</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各县区生态环境分局: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根据安徽省生态环境厅《</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年全省辐射环境监测方案》要求,我局制定了《</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年全市辐射环境监测方案》,现予印发，请认真执行。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附件：</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年全市辐射环境监测方案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right"/>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right"/>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cs="Times New Roman"/>
          <w:i w:val="0"/>
          <w:iCs w:val="0"/>
          <w:caps w:val="0"/>
          <w:color w:val="333333"/>
          <w:spacing w:val="0"/>
          <w:sz w:val="32"/>
          <w:szCs w:val="32"/>
          <w:bdr w:val="none" w:color="auto" w:sz="0" w:space="0"/>
          <w:shd w:val="clear" w:fill="FFFFFF"/>
        </w:rPr>
        <w:t>9</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cs="Times New Roman"/>
          <w:i w:val="0"/>
          <w:iCs w:val="0"/>
          <w:caps w:val="0"/>
          <w:color w:val="333333"/>
          <w:spacing w:val="0"/>
          <w:sz w:val="32"/>
          <w:szCs w:val="32"/>
          <w:bdr w:val="none" w:color="auto" w:sz="0" w:space="0"/>
          <w:shd w:val="clear" w:fill="FFFFFF"/>
        </w:rPr>
        <w:t>8</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b w:val="0"/>
          <w:bCs w:val="0"/>
          <w:i w:val="0"/>
          <w:iCs w:val="0"/>
          <w:caps w:val="0"/>
          <w:color w:val="333333"/>
          <w:spacing w:val="0"/>
          <w:sz w:val="44"/>
          <w:szCs w:val="44"/>
          <w:bdr w:val="none" w:color="auto" w:sz="0" w:space="0"/>
          <w:shd w:val="clear" w:fill="FFFFFF"/>
        </w:rPr>
        <w:t>2023</w:t>
      </w:r>
      <w:r>
        <w:rPr>
          <w:rFonts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年全市辐射环境监测方案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ascii="方正黑体_GBK" w:hAnsi="方正黑体_GBK" w:eastAsia="方正黑体_GBK" w:cs="方正黑体_GBK"/>
          <w:b w:val="0"/>
          <w:bCs w:val="0"/>
          <w:i w:val="0"/>
          <w:iCs w:val="0"/>
          <w:caps w:val="0"/>
          <w:color w:val="333333"/>
          <w:spacing w:val="0"/>
          <w:sz w:val="32"/>
          <w:szCs w:val="32"/>
          <w:bdr w:val="none" w:color="auto" w:sz="0" w:space="0"/>
          <w:shd w:val="clear" w:fill="FFFFFF"/>
        </w:rPr>
        <w:t>一、全市辐射环境质量监测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安徽省六安生态环境监测中心协同市生态环境局根据《</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全省辐射环境监测方案》，开展我市辐射环境监测，承担样品采集、数据汇总上报等工作。根据监测方案，在规定时间内开展样品采集和送样，协助省辐射站进行辐射环境自动监测站的运行、维护、期间核查巡检等工作；开展我市电磁环境监测工作，</w:t>
      </w:r>
      <w:r>
        <w:rPr>
          <w:rFonts w:hint="default" w:ascii="Times New Roman" w:hAnsi="Times New Roman" w:cs="Times New Roman"/>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月底前将监测数据上报至省辐射站。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b w:val="0"/>
          <w:bCs w:val="0"/>
          <w:i w:val="0"/>
          <w:iCs w:val="0"/>
          <w:caps w:val="0"/>
          <w:color w:val="333333"/>
          <w:spacing w:val="0"/>
          <w:sz w:val="32"/>
          <w:szCs w:val="32"/>
          <w:bdr w:val="none" w:color="auto" w:sz="0" w:space="0"/>
          <w:shd w:val="clear" w:fill="FFFFFF"/>
        </w:rPr>
        <w:t>金安区生态环境分局负责按照《龙穴山放射性废物库退役工程伴生矿放射性废渣就地处置方案》的要求，委托有资质的单位，开展龙穴山废物库关闭后的辐射环境监测；金寨县生态环境分局负责委托有资质的单位，开展响洪甸放射性废物库的辐射环境监测，</w:t>
      </w:r>
      <w:r>
        <w:rPr>
          <w:rFonts w:hint="default" w:ascii="Times New Roman" w:hAnsi="Times New Roman" w:cs="Times New Roman"/>
          <w:b w:val="0"/>
          <w:bCs w:val="0"/>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b w:val="0"/>
          <w:bCs w:val="0"/>
          <w:i w:val="0"/>
          <w:iCs w:val="0"/>
          <w:caps w:val="0"/>
          <w:color w:val="333333"/>
          <w:spacing w:val="0"/>
          <w:sz w:val="32"/>
          <w:szCs w:val="32"/>
          <w:bdr w:val="none" w:color="auto" w:sz="0" w:space="0"/>
          <w:shd w:val="clear" w:fill="FFFFFF"/>
        </w:rPr>
        <w:t>月底前将监测数据上报至市局。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年全市辐射环境质量监测内容见表</w:t>
      </w:r>
      <w:r>
        <w:rPr>
          <w:rFonts w:hint="default" w:ascii="Times New Roman" w:hAnsi="Times New Roman"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至表</w:t>
      </w:r>
      <w:r>
        <w:rPr>
          <w:rFonts w:hint="default" w:ascii="Times New Roman" w:hAnsi="Times New Roman" w:cs="Times New Roman"/>
          <w:i w:val="0"/>
          <w:iCs w:val="0"/>
          <w:caps w:val="0"/>
          <w:color w:val="333333"/>
          <w:spacing w:val="0"/>
          <w:sz w:val="32"/>
          <w:szCs w:val="32"/>
          <w:bdr w:val="none" w:color="auto" w:sz="0" w:space="0"/>
          <w:shd w:val="clear" w:fill="FFFFFF"/>
        </w:rPr>
        <w:t>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二、核技术利用单位、伴生放射性矿企业和重要电磁设施的监督性监测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安徽省六安生态环境监测中心协同市生态环境局结合核技术应用项目行业特点，有针对性地开展监督性监测工作。</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年计划完成我市不少于</w:t>
      </w:r>
      <w:r>
        <w:rPr>
          <w:rFonts w:hint="default" w:ascii="Times New Roman" w:hAnsi="Times New Roman" w:cs="Times New Roman"/>
          <w:i w:val="0"/>
          <w:iCs w:val="0"/>
          <w:caps w:val="0"/>
          <w:color w:val="333333"/>
          <w:spacing w:val="0"/>
          <w:sz w:val="32"/>
          <w:szCs w:val="32"/>
          <w:bdr w:val="none" w:color="auto" w:sz="0" w:space="0"/>
          <w:shd w:val="clear" w:fill="FFFFFF"/>
        </w:rPr>
        <w:t>10%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的本级监管核技术应用单位（放射源单位要全覆盖）的监督性监测。选择我市具有代表性的输变电工程和移动通信基站开展监督性监测。监测过程中一旦发现问题，及时书面报告市生态环境局。</w:t>
      </w: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以上任务由各县区生态环境分局配合。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三、辐射事故应急监测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各县区生态环境分局继续加强辐射事故应急监测能力建设，</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各分局</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应至少配备一台辐射监测仪。增强辐射应急意识，充分做好辐射事故应急准备，对应急监测设备、设施加强维护。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四、监测能力建设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各县区要进一步加强辐射环境监测能力建设，充实监测队伍能力，完善监测设备配置；加大培训和监测科研力度，加强与高校、科研院所等机构的技术交流与合作，提高监测人员素质。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附表：</w:t>
      </w:r>
      <w:r>
        <w:rPr>
          <w:rFonts w:hint="default" w:ascii="Times New Roman" w:hAnsi="Times New Roman"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六安市水体放射性监测点位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六安市陆地</w:t>
      </w:r>
      <w:r>
        <w:rPr>
          <w:rFonts w:hint="default" w:ascii="Times New Roman" w:hAnsi="Times New Roman" w:cs="Times New Roman"/>
          <w:i w:val="0"/>
          <w:iCs w:val="0"/>
          <w:caps w:val="0"/>
          <w:color w:val="333333"/>
          <w:spacing w:val="0"/>
          <w:sz w:val="32"/>
          <w:szCs w:val="32"/>
          <w:bdr w:val="none" w:color="auto" w:sz="0" w:space="0"/>
          <w:shd w:val="clear" w:fill="FFFFFF"/>
        </w:rPr>
        <w:t>γ</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辐射累积剂量监测点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六安市土壤放射性监测点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六安市辐射环境自动监测站采样点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六安市电磁环境监测点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表</w:t>
      </w:r>
      <w:r>
        <w:rPr>
          <w:rFonts w:hint="default" w:ascii="Times New Roman" w:hAnsi="Times New Roman" w:cs="Times New Roman"/>
          <w:i w:val="0"/>
          <w:iCs w:val="0"/>
          <w:caps w:val="0"/>
          <w:color w:val="333333"/>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六安市水体放射性监测点位</w:t>
      </w:r>
    </w:p>
    <w:tbl>
      <w:tblPr>
        <w:tblW w:w="930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8"/>
        <w:gridCol w:w="2030"/>
        <w:gridCol w:w="2973"/>
        <w:gridCol w:w="1673"/>
        <w:gridCol w:w="14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2" w:hRule="atLeast"/>
          <w:jc w:val="center"/>
        </w:trPr>
        <w:tc>
          <w:tcPr>
            <w:tcW w:w="115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地级市</w:t>
            </w:r>
          </w:p>
        </w:tc>
        <w:tc>
          <w:tcPr>
            <w:tcW w:w="203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点位名称</w:t>
            </w:r>
          </w:p>
        </w:tc>
        <w:tc>
          <w:tcPr>
            <w:tcW w:w="297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水体类型</w:t>
            </w:r>
          </w:p>
        </w:tc>
        <w:tc>
          <w:tcPr>
            <w:tcW w:w="167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是否是饮用水源地</w:t>
            </w:r>
          </w:p>
        </w:tc>
        <w:tc>
          <w:tcPr>
            <w:tcW w:w="147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采样频次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7" w:hRule="atLeast"/>
          <w:jc w:val="center"/>
        </w:trPr>
        <w:tc>
          <w:tcPr>
            <w:tcW w:w="1158"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六安市</w:t>
            </w: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樊通路桥</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是</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东淠河</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否</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西淠河</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否</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横排头</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河流型地表水（淠河总干渠）</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否</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解放路桥</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河流型地表水（淠河总干渠）</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否</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响洪甸水库</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湖库型地表水</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是</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1158"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新城水厂</w:t>
            </w:r>
          </w:p>
        </w:tc>
        <w:tc>
          <w:tcPr>
            <w:tcW w:w="29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河流型地表水（淠河总干渠）</w:t>
            </w:r>
          </w:p>
        </w:tc>
        <w:tc>
          <w:tcPr>
            <w:tcW w:w="167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是</w:t>
            </w:r>
          </w:p>
        </w:tc>
        <w:tc>
          <w:tcPr>
            <w:tcW w:w="147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6" w:hRule="atLeast"/>
          <w:jc w:val="center"/>
        </w:trPr>
        <w:tc>
          <w:tcPr>
            <w:tcW w:w="9304" w:type="dxa"/>
            <w:gridSpan w:val="5"/>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安徽省六安生态环境监测中心负责我市水体监测点位的水样采集，水样须在规定时间内送至省辐射站。采样体积不少于</w:t>
            </w:r>
            <w:r>
              <w:rPr>
                <w:rFonts w:hint="default" w:ascii="Times New Roman" w:hAnsi="Times New Roman" w:cs="Times New Roman"/>
                <w:sz w:val="28"/>
                <w:szCs w:val="28"/>
                <w:bdr w:val="none" w:color="auto" w:sz="0" w:space="0"/>
              </w:rPr>
              <w:t>10L</w:t>
            </w:r>
            <w:r>
              <w:rPr>
                <w:rFonts w:hint="default" w:ascii="方正仿宋_GBK" w:hAnsi="方正仿宋_GBK" w:eastAsia="方正仿宋_GBK" w:cs="方正仿宋_GBK"/>
                <w:sz w:val="28"/>
                <w:szCs w:val="28"/>
                <w:bdr w:val="none" w:color="auto" w:sz="0" w:space="0"/>
              </w:rPr>
              <w:t>。采样时间超过</w:t>
            </w:r>
            <w:r>
              <w:rPr>
                <w:rFonts w:hint="default" w:ascii="Times New Roman" w:hAnsi="Times New Roman" w:cs="Times New Roman"/>
                <w:sz w:val="28"/>
                <w:szCs w:val="28"/>
                <w:bdr w:val="none" w:color="auto" w:sz="0" w:space="0"/>
              </w:rPr>
              <w:t>2</w:t>
            </w:r>
            <w:r>
              <w:rPr>
                <w:rFonts w:hint="default" w:ascii="方正仿宋_GBK" w:hAnsi="方正仿宋_GBK" w:eastAsia="方正仿宋_GBK" w:cs="方正仿宋_GBK"/>
                <w:sz w:val="28"/>
                <w:szCs w:val="28"/>
                <w:bdr w:val="none" w:color="auto" w:sz="0" w:space="0"/>
              </w:rPr>
              <w:t>天，需加酸固定。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表</w:t>
      </w:r>
      <w:r>
        <w:rPr>
          <w:rFonts w:hint="default" w:ascii="Times New Roman" w:hAnsi="Times New Roman" w:cs="Times New Roman"/>
          <w:i w:val="0"/>
          <w:iCs w:val="0"/>
          <w:caps w:val="0"/>
          <w:color w:val="333333"/>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六安市陆地</w:t>
      </w:r>
      <w:r>
        <w:rPr>
          <w:rFonts w:hint="default" w:ascii="Times New Roman" w:hAnsi="Times New Roman" w:cs="Times New Roman"/>
          <w:i w:val="0"/>
          <w:iCs w:val="0"/>
          <w:caps w:val="0"/>
          <w:color w:val="333333"/>
          <w:spacing w:val="0"/>
          <w:sz w:val="32"/>
          <w:szCs w:val="32"/>
          <w:bdr w:val="none" w:color="auto" w:sz="0" w:space="0"/>
          <w:shd w:val="clear" w:fill="FFFFFF"/>
        </w:rPr>
        <w:t>γ</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辐射累积剂量监测点</w:t>
      </w:r>
    </w:p>
    <w:tbl>
      <w:tblPr>
        <w:tblW w:w="85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5"/>
        <w:gridCol w:w="1880"/>
        <w:gridCol w:w="3735"/>
        <w:gridCol w:w="20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9" w:hRule="atLeast"/>
          <w:jc w:val="center"/>
        </w:trPr>
        <w:tc>
          <w:tcPr>
            <w:tcW w:w="865"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序号</w:t>
            </w:r>
          </w:p>
        </w:tc>
        <w:tc>
          <w:tcPr>
            <w:tcW w:w="188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地级市</w:t>
            </w:r>
          </w:p>
        </w:tc>
        <w:tc>
          <w:tcPr>
            <w:tcW w:w="3735"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点位名称</w:t>
            </w:r>
          </w:p>
        </w:tc>
        <w:tc>
          <w:tcPr>
            <w:tcW w:w="208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388"/>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采样频次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8" w:hRule="atLeast"/>
          <w:jc w:val="center"/>
        </w:trPr>
        <w:tc>
          <w:tcPr>
            <w:tcW w:w="86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p>
        </w:tc>
        <w:tc>
          <w:tcPr>
            <w:tcW w:w="1880"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六安市</w:t>
            </w:r>
          </w:p>
        </w:tc>
        <w:tc>
          <w:tcPr>
            <w:tcW w:w="373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六安市监测大楼</w:t>
            </w:r>
          </w:p>
        </w:tc>
        <w:tc>
          <w:tcPr>
            <w:tcW w:w="208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86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2</w:t>
            </w:r>
          </w:p>
        </w:tc>
        <w:tc>
          <w:tcPr>
            <w:tcW w:w="1880"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73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六安市国家粮库</w:t>
            </w:r>
          </w:p>
        </w:tc>
        <w:tc>
          <w:tcPr>
            <w:tcW w:w="208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86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3</w:t>
            </w:r>
          </w:p>
        </w:tc>
        <w:tc>
          <w:tcPr>
            <w:tcW w:w="1880"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73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凤凰桥水质净化厂</w:t>
            </w:r>
          </w:p>
        </w:tc>
        <w:tc>
          <w:tcPr>
            <w:tcW w:w="208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54" w:hRule="atLeast"/>
          <w:jc w:val="center"/>
        </w:trPr>
        <w:tc>
          <w:tcPr>
            <w:tcW w:w="8560" w:type="dxa"/>
            <w:gridSpan w:val="4"/>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安徽省六安生态环境监测中心负责本辖区内累积剂量片的布设和收集，采样频次为</w:t>
            </w:r>
            <w:r>
              <w:rPr>
                <w:rFonts w:hint="default" w:ascii="Times New Roman" w:hAnsi="Times New Roman" w:cs="Times New Roman"/>
                <w:color w:val="000000"/>
                <w:sz w:val="28"/>
                <w:szCs w:val="28"/>
                <w:bdr w:val="none" w:color="auto" w:sz="0" w:space="0"/>
              </w:rPr>
              <w:t>1</w:t>
            </w:r>
            <w:r>
              <w:rPr>
                <w:rFonts w:hint="default" w:ascii="方正仿宋_GBK" w:hAnsi="方正仿宋_GBK" w:eastAsia="方正仿宋_GBK" w:cs="方正仿宋_GBK"/>
                <w:color w:val="000000"/>
                <w:sz w:val="28"/>
                <w:szCs w:val="28"/>
                <w:bdr w:val="none" w:color="auto" w:sz="0" w:space="0"/>
              </w:rPr>
              <w:t>次/季度。每季度</w:t>
            </w:r>
            <w:r>
              <w:rPr>
                <w:rFonts w:hint="default" w:ascii="Times New Roman" w:hAnsi="Times New Roman" w:cs="Times New Roman"/>
                <w:color w:val="000000"/>
                <w:sz w:val="28"/>
                <w:szCs w:val="28"/>
                <w:bdr w:val="none" w:color="auto" w:sz="0" w:space="0"/>
              </w:rPr>
              <w:t>20</w:t>
            </w:r>
            <w:r>
              <w:rPr>
                <w:rFonts w:hint="default" w:ascii="方正仿宋_GBK" w:hAnsi="方正仿宋_GBK" w:eastAsia="方正仿宋_GBK" w:cs="方正仿宋_GBK"/>
                <w:color w:val="000000"/>
                <w:sz w:val="28"/>
                <w:szCs w:val="28"/>
                <w:bdr w:val="none" w:color="auto" w:sz="0" w:space="0"/>
              </w:rPr>
              <w:t>号</w:t>
            </w:r>
            <w:r>
              <w:rPr>
                <w:rFonts w:hint="default" w:ascii="方正仿宋_GBK" w:hAnsi="方正仿宋_GBK" w:eastAsia="方正仿宋_GBK" w:cs="方正仿宋_GBK"/>
                <w:sz w:val="28"/>
                <w:szCs w:val="28"/>
                <w:bdr w:val="none" w:color="auto" w:sz="0" w:space="0"/>
              </w:rPr>
              <w:t>前送达省辐射站。</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表</w:t>
      </w:r>
      <w:r>
        <w:rPr>
          <w:rFonts w:hint="default" w:ascii="Times New Roman" w:hAnsi="Times New Roman" w:cs="Times New Roman"/>
          <w:i w:val="0"/>
          <w:iCs w:val="0"/>
          <w:caps w:val="0"/>
          <w:color w:val="333333"/>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六安市土壤放射性监测点</w:t>
      </w:r>
    </w:p>
    <w:tbl>
      <w:tblPr>
        <w:tblW w:w="85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53"/>
        <w:gridCol w:w="3612"/>
        <w:gridCol w:w="2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28" w:hRule="atLeast"/>
          <w:jc w:val="center"/>
        </w:trPr>
        <w:tc>
          <w:tcPr>
            <w:tcW w:w="2453"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地级市</w:t>
            </w:r>
          </w:p>
        </w:tc>
        <w:tc>
          <w:tcPr>
            <w:tcW w:w="361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点位名称</w:t>
            </w:r>
          </w:p>
        </w:tc>
        <w:tc>
          <w:tcPr>
            <w:tcW w:w="2515"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采样频次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2453"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六安市站</w:t>
            </w:r>
          </w:p>
        </w:tc>
        <w:tc>
          <w:tcPr>
            <w:tcW w:w="361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六安市中央森林公园</w:t>
            </w:r>
          </w:p>
        </w:tc>
        <w:tc>
          <w:tcPr>
            <w:tcW w:w="2515"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9" w:hRule="atLeast"/>
          <w:jc w:val="center"/>
        </w:trPr>
        <w:tc>
          <w:tcPr>
            <w:tcW w:w="8580" w:type="dxa"/>
            <w:gridSpan w:val="3"/>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安徽省六安生态环境监测中心负责本辖区内土壤样品的采集，样品须在</w:t>
            </w:r>
            <w:r>
              <w:rPr>
                <w:rFonts w:hint="default" w:ascii="Times New Roman" w:hAnsi="Times New Roman" w:cs="Times New Roman"/>
                <w:sz w:val="28"/>
                <w:szCs w:val="28"/>
                <w:bdr w:val="none" w:color="auto" w:sz="0" w:space="0"/>
              </w:rPr>
              <w:t>2023</w:t>
            </w:r>
            <w:r>
              <w:rPr>
                <w:rFonts w:hint="default" w:ascii="方正仿宋_GBK" w:hAnsi="方正仿宋_GBK" w:eastAsia="方正仿宋_GBK" w:cs="方正仿宋_GBK"/>
                <w:sz w:val="28"/>
                <w:szCs w:val="28"/>
                <w:bdr w:val="none" w:color="auto" w:sz="0" w:space="0"/>
              </w:rPr>
              <w:t>年</w:t>
            </w:r>
            <w:r>
              <w:rPr>
                <w:rFonts w:hint="default" w:ascii="Times New Roman" w:hAnsi="Times New Roman" w:cs="Times New Roman"/>
                <w:sz w:val="28"/>
                <w:szCs w:val="28"/>
                <w:bdr w:val="none" w:color="auto" w:sz="0" w:space="0"/>
              </w:rPr>
              <w:t>5</w:t>
            </w:r>
            <w:r>
              <w:rPr>
                <w:rFonts w:hint="default" w:ascii="方正仿宋_GBK" w:hAnsi="方正仿宋_GBK" w:eastAsia="方正仿宋_GBK" w:cs="方正仿宋_GBK"/>
                <w:sz w:val="28"/>
                <w:szCs w:val="28"/>
                <w:bdr w:val="none" w:color="auto" w:sz="0" w:space="0"/>
              </w:rPr>
              <w:t>月</w:t>
            </w:r>
            <w:r>
              <w:rPr>
                <w:rFonts w:hint="default" w:ascii="Times New Roman" w:hAnsi="Times New Roman" w:cs="Times New Roman"/>
                <w:sz w:val="28"/>
                <w:szCs w:val="28"/>
                <w:bdr w:val="none" w:color="auto" w:sz="0" w:space="0"/>
              </w:rPr>
              <w:t>20</w:t>
            </w:r>
            <w:r>
              <w:rPr>
                <w:rFonts w:hint="default" w:ascii="方正仿宋_GBK" w:hAnsi="方正仿宋_GBK" w:eastAsia="方正仿宋_GBK" w:cs="方正仿宋_GBK"/>
                <w:sz w:val="28"/>
                <w:szCs w:val="28"/>
                <w:bdr w:val="none" w:color="auto" w:sz="0" w:space="0"/>
              </w:rPr>
              <w:t>日前送至省辐射站。</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表</w:t>
      </w:r>
      <w:r>
        <w:rPr>
          <w:rFonts w:hint="default" w:ascii="Times New Roman" w:hAnsi="Times New Roman" w:cs="Times New Roman"/>
          <w:i w:val="0"/>
          <w:iCs w:val="0"/>
          <w:caps w:val="0"/>
          <w:color w:val="333333"/>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六安市辐射环境自动监测站采样点</w:t>
      </w:r>
    </w:p>
    <w:tbl>
      <w:tblPr>
        <w:tblW w:w="87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84"/>
        <w:gridCol w:w="2687"/>
        <w:gridCol w:w="27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jc w:val="center"/>
        </w:trPr>
        <w:tc>
          <w:tcPr>
            <w:tcW w:w="3284"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自动站名称</w:t>
            </w:r>
          </w:p>
        </w:tc>
        <w:tc>
          <w:tcPr>
            <w:tcW w:w="2687"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监测对象</w:t>
            </w:r>
          </w:p>
        </w:tc>
        <w:tc>
          <w:tcPr>
            <w:tcW w:w="2769"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监测频次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9" w:hRule="atLeast"/>
          <w:jc w:val="center"/>
        </w:trPr>
        <w:tc>
          <w:tcPr>
            <w:tcW w:w="3284"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六安金安区长安南路站</w:t>
            </w:r>
          </w:p>
        </w:tc>
        <w:tc>
          <w:tcPr>
            <w:tcW w:w="2687"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干湿沉降物</w:t>
            </w:r>
          </w:p>
        </w:tc>
        <w:tc>
          <w:tcPr>
            <w:tcW w:w="2769"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4" w:hRule="atLeast"/>
          <w:jc w:val="center"/>
        </w:trPr>
        <w:tc>
          <w:tcPr>
            <w:tcW w:w="3284"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687"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空气中碘</w:t>
            </w:r>
          </w:p>
        </w:tc>
        <w:tc>
          <w:tcPr>
            <w:tcW w:w="2769"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4" w:hRule="atLeast"/>
          <w:jc w:val="center"/>
        </w:trPr>
        <w:tc>
          <w:tcPr>
            <w:tcW w:w="3284"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687"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气溶胶</w:t>
            </w:r>
          </w:p>
        </w:tc>
        <w:tc>
          <w:tcPr>
            <w:tcW w:w="2769"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35" w:hRule="atLeast"/>
          <w:jc w:val="center"/>
        </w:trPr>
        <w:tc>
          <w:tcPr>
            <w:tcW w:w="8740" w:type="dxa"/>
            <w:gridSpan w:val="3"/>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安徽省六安生态环境监测中心负责我市辐射自动站的运行、维护和样品的采集，样品须在每季度中间月份的</w:t>
            </w:r>
            <w:r>
              <w:rPr>
                <w:rFonts w:hint="default" w:ascii="Times New Roman" w:hAnsi="Times New Roman" w:cs="Times New Roman"/>
                <w:sz w:val="28"/>
                <w:szCs w:val="28"/>
                <w:bdr w:val="none" w:color="auto" w:sz="0" w:space="0"/>
              </w:rPr>
              <w:t>20</w:t>
            </w:r>
            <w:r>
              <w:rPr>
                <w:rFonts w:hint="default" w:ascii="方正仿宋_GBK" w:hAnsi="方正仿宋_GBK" w:eastAsia="方正仿宋_GBK" w:cs="方正仿宋_GBK"/>
                <w:sz w:val="28"/>
                <w:szCs w:val="28"/>
                <w:bdr w:val="none" w:color="auto" w:sz="0" w:space="0"/>
              </w:rPr>
              <w:t>号之前将样品送至省辐射站；气溶胶采样体积必须大于</w:t>
            </w:r>
            <w:r>
              <w:rPr>
                <w:rFonts w:hint="default" w:ascii="Times New Roman" w:hAnsi="Times New Roman" w:cs="Times New Roman"/>
                <w:sz w:val="28"/>
                <w:szCs w:val="28"/>
                <w:bdr w:val="none" w:color="auto" w:sz="0" w:space="0"/>
              </w:rPr>
              <w:t>50000m</w:t>
            </w:r>
            <w:r>
              <w:rPr>
                <w:rFonts w:hint="default" w:ascii="Times New Roman" w:hAnsi="Times New Roman" w:cs="Times New Roman"/>
                <w:sz w:val="28"/>
                <w:szCs w:val="28"/>
                <w:bdr w:val="none" w:color="auto" w:sz="0" w:space="0"/>
                <w:vertAlign w:val="superscript"/>
              </w:rPr>
              <w:t>3</w:t>
            </w:r>
            <w:r>
              <w:rPr>
                <w:rFonts w:hint="default" w:ascii="方正仿宋_GBK" w:hAnsi="方正仿宋_GBK" w:eastAsia="方正仿宋_GBK" w:cs="方正仿宋_GBK"/>
                <w:sz w:val="28"/>
                <w:szCs w:val="28"/>
                <w:bdr w:val="none" w:color="auto" w:sz="0" w:space="0"/>
              </w:rPr>
              <w:t>，低于</w:t>
            </w:r>
            <w:r>
              <w:rPr>
                <w:rFonts w:hint="default" w:ascii="Times New Roman" w:hAnsi="Times New Roman" w:cs="Times New Roman"/>
                <w:sz w:val="28"/>
                <w:szCs w:val="28"/>
                <w:bdr w:val="none" w:color="auto" w:sz="0" w:space="0"/>
              </w:rPr>
              <w:t>50000m</w:t>
            </w:r>
            <w:r>
              <w:rPr>
                <w:rFonts w:hint="default" w:ascii="Times New Roman" w:hAnsi="Times New Roman" w:cs="Times New Roman"/>
                <w:sz w:val="28"/>
                <w:szCs w:val="28"/>
                <w:bdr w:val="none" w:color="auto" w:sz="0" w:space="0"/>
                <w:vertAlign w:val="superscript"/>
              </w:rPr>
              <w:t>3</w:t>
            </w:r>
            <w:r>
              <w:rPr>
                <w:rFonts w:hint="default" w:ascii="方正仿宋_GBK" w:hAnsi="方正仿宋_GBK" w:eastAsia="方正仿宋_GBK" w:cs="方正仿宋_GBK"/>
                <w:sz w:val="28"/>
                <w:szCs w:val="28"/>
                <w:bdr w:val="none" w:color="auto" w:sz="0" w:space="0"/>
              </w:rPr>
              <w:t>的气溶胶样品分析数据不能上报。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表</w:t>
      </w:r>
      <w:r>
        <w:rPr>
          <w:rFonts w:hint="default" w:ascii="Times New Roman" w:hAnsi="Times New Roman" w:cs="Times New Roman"/>
          <w:i w:val="0"/>
          <w:iCs w:val="0"/>
          <w:caps w:val="0"/>
          <w:color w:val="333333"/>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放射性废物库和伴生矿企业监测内容</w:t>
      </w:r>
    </w:p>
    <w:tbl>
      <w:tblPr>
        <w:tblW w:w="908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636"/>
        <w:gridCol w:w="2178"/>
        <w:gridCol w:w="32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8" w:hRule="atLeast"/>
          <w:jc w:val="center"/>
        </w:trPr>
        <w:tc>
          <w:tcPr>
            <w:tcW w:w="3636"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监测对象</w:t>
            </w:r>
          </w:p>
        </w:tc>
        <w:tc>
          <w:tcPr>
            <w:tcW w:w="217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监测频次</w:t>
            </w:r>
          </w:p>
        </w:tc>
        <w:tc>
          <w:tcPr>
            <w:tcW w:w="3269"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sz w:val="28"/>
                <w:szCs w:val="28"/>
                <w:bdr w:val="none" w:color="auto" w:sz="0" w:space="0"/>
              </w:rPr>
              <w:t>监测内容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7" w:hRule="atLeast"/>
          <w:jc w:val="center"/>
        </w:trPr>
        <w:tc>
          <w:tcPr>
            <w:tcW w:w="3636"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六安市金寨县响洪甸废物库</w:t>
            </w:r>
          </w:p>
        </w:tc>
        <w:tc>
          <w:tcPr>
            <w:tcW w:w="217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c>
          <w:tcPr>
            <w:tcW w:w="3269"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地表辐射、大气、土壤、水体、废水等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3636"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六安市金安区龙穴山放射性废物库</w:t>
            </w:r>
          </w:p>
        </w:tc>
        <w:tc>
          <w:tcPr>
            <w:tcW w:w="217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c>
          <w:tcPr>
            <w:tcW w:w="3269"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31" w:hRule="atLeast"/>
          <w:jc w:val="center"/>
        </w:trPr>
        <w:tc>
          <w:tcPr>
            <w:tcW w:w="9083" w:type="dxa"/>
            <w:gridSpan w:val="3"/>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金安区分局负责按照《龙穴山放射性废物库退役工程伴生矿放射性废渣就地处置方案》的要求，委托有资质的单位，开展龙穴山废物库关闭后的辐射环境监测；金寨县分局负责委托有资质的单位，开展响洪甸放射性废物库的辐射环境监测，</w:t>
            </w:r>
            <w:r>
              <w:rPr>
                <w:rFonts w:hint="default" w:ascii="Times New Roman" w:hAnsi="Times New Roman" w:cs="Times New Roman"/>
                <w:sz w:val="28"/>
                <w:szCs w:val="28"/>
                <w:bdr w:val="none" w:color="auto" w:sz="0" w:space="0"/>
              </w:rPr>
              <w:t>10</w:t>
            </w:r>
            <w:r>
              <w:rPr>
                <w:rFonts w:hint="default" w:ascii="方正仿宋_GBK" w:hAnsi="方正仿宋_GBK" w:eastAsia="方正仿宋_GBK" w:cs="方正仿宋_GBK"/>
                <w:sz w:val="28"/>
                <w:szCs w:val="28"/>
                <w:bdr w:val="none" w:color="auto" w:sz="0" w:space="0"/>
              </w:rPr>
              <w:t>月底前将监测数据上报至市局。</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表</w:t>
      </w:r>
      <w:r>
        <w:rPr>
          <w:rFonts w:hint="default" w:ascii="Times New Roman" w:hAnsi="Times New Roman" w:cs="Times New Roman"/>
          <w:i w:val="0"/>
          <w:iCs w:val="0"/>
          <w:caps w:val="0"/>
          <w:color w:val="333333"/>
          <w:spacing w:val="0"/>
          <w:sz w:val="32"/>
          <w:szCs w:val="32"/>
          <w:bdr w:val="none" w:color="auto" w:sz="0" w:space="0"/>
          <w:shd w:val="clear" w:fill="FFFFFF"/>
        </w:rPr>
        <w:t>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六安市电磁环境监测点</w:t>
      </w:r>
    </w:p>
    <w:tbl>
      <w:tblPr>
        <w:tblW w:w="87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97"/>
        <w:gridCol w:w="3687"/>
        <w:gridCol w:w="36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1397"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地级市</w:t>
            </w:r>
          </w:p>
        </w:tc>
        <w:tc>
          <w:tcPr>
            <w:tcW w:w="3687"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点位名称</w:t>
            </w:r>
          </w:p>
        </w:tc>
        <w:tc>
          <w:tcPr>
            <w:tcW w:w="3656"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b/>
                <w:bCs/>
                <w:color w:val="000000"/>
                <w:sz w:val="28"/>
                <w:szCs w:val="28"/>
                <w:bdr w:val="none" w:color="auto" w:sz="0" w:space="0"/>
              </w:rPr>
              <w:t>监测频次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1397"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六安市</w:t>
            </w:r>
          </w:p>
        </w:tc>
        <w:tc>
          <w:tcPr>
            <w:tcW w:w="3687"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淠河总干渠三十铺段</w:t>
            </w:r>
          </w:p>
        </w:tc>
        <w:tc>
          <w:tcPr>
            <w:tcW w:w="365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3" w:hRule="atLeast"/>
          <w:jc w:val="center"/>
        </w:trPr>
        <w:tc>
          <w:tcPr>
            <w:tcW w:w="1397"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687"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color w:val="000000"/>
                <w:sz w:val="28"/>
                <w:szCs w:val="28"/>
                <w:bdr w:val="none" w:color="auto" w:sz="0" w:space="0"/>
              </w:rPr>
              <w:t>六安市广播电视发射塔</w:t>
            </w:r>
          </w:p>
        </w:tc>
        <w:tc>
          <w:tcPr>
            <w:tcW w:w="365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1</w:t>
            </w:r>
            <w:r>
              <w:rPr>
                <w:rFonts w:hint="default" w:ascii="方正仿宋_GBK" w:hAnsi="方正仿宋_GBK" w:eastAsia="方正仿宋_GBK" w:cs="方正仿宋_GBK"/>
                <w:sz w:val="28"/>
                <w:szCs w:val="28"/>
                <w:bdr w:val="none" w:color="auto" w:sz="0" w:space="0"/>
              </w:rPr>
              <w:t>次/年</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049B5C47"/>
    <w:rsid w:val="2B9A39B8"/>
    <w:rsid w:val="33E15022"/>
    <w:rsid w:val="396A708B"/>
    <w:rsid w:val="58523BC2"/>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2023-11-09T02:20:58Z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62CC98CCAEC340EF8FF07587FBA51F7C</vt:lpwstr>
  </property>
</Properties>
</file>