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before="156" w:beforeLines="50" w:line="360" w:lineRule="auto"/>
        <w:jc w:val="center"/>
        <w:rPr>
          <w:rFonts w:ascii="方正小标宋简体" w:hAnsi="方正小标宋简体" w:eastAsia="方正小标宋简体"/>
          <w:bCs/>
          <w:color w:val="000000"/>
          <w:sz w:val="36"/>
          <w:szCs w:val="36"/>
        </w:rPr>
      </w:pPr>
    </w:p>
    <w:p>
      <w:pPr>
        <w:autoSpaceDN w:val="0"/>
        <w:spacing w:before="156" w:beforeLines="50" w:line="360" w:lineRule="auto"/>
        <w:jc w:val="center"/>
        <w:rPr>
          <w:rFonts w:ascii="方正小标宋简体" w:hAnsi="方正小标宋简体" w:eastAsia="方正小标宋简体"/>
          <w:bCs/>
          <w:color w:val="000000"/>
          <w:sz w:val="36"/>
          <w:szCs w:val="36"/>
        </w:rPr>
      </w:pPr>
    </w:p>
    <w:p>
      <w:pPr>
        <w:autoSpaceDN w:val="0"/>
        <w:spacing w:before="156" w:beforeLines="50" w:line="360" w:lineRule="auto"/>
        <w:jc w:val="center"/>
        <w:rPr>
          <w:rFonts w:ascii="方正小标宋简体" w:hAnsi="方正小标宋简体" w:eastAsia="方正小标宋简体"/>
          <w:bCs/>
          <w:color w:val="000000"/>
          <w:sz w:val="36"/>
          <w:szCs w:val="36"/>
        </w:rPr>
      </w:pPr>
    </w:p>
    <w:p>
      <w:pPr>
        <w:autoSpaceDN w:val="0"/>
        <w:spacing w:before="156" w:beforeLines="50" w:line="360" w:lineRule="auto"/>
        <w:jc w:val="center"/>
        <w:rPr>
          <w:rFonts w:ascii="方正小标宋简体" w:hAnsi="方正小标宋简体" w:eastAsia="方正小标宋简体"/>
          <w:bCs/>
          <w:color w:val="000000"/>
          <w:sz w:val="40"/>
          <w:szCs w:val="40"/>
        </w:rPr>
      </w:pPr>
      <w:r>
        <w:rPr>
          <w:rFonts w:hint="eastAsia" w:ascii="方正小标宋简体" w:hAnsi="方正小标宋简体" w:eastAsia="方正小标宋简体"/>
          <w:bCs/>
          <w:color w:val="000000"/>
          <w:sz w:val="40"/>
          <w:szCs w:val="40"/>
        </w:rPr>
        <w:t>《柳州市城市区域声环境功能区划分调整方案</w:t>
      </w:r>
    </w:p>
    <w:p>
      <w:pPr>
        <w:autoSpaceDN w:val="0"/>
        <w:spacing w:before="156" w:beforeLines="50" w:line="360" w:lineRule="auto"/>
        <w:jc w:val="center"/>
        <w:rPr>
          <w:rFonts w:ascii="方正小标宋简体" w:hAnsi="方正小标宋简体" w:eastAsia="方正小标宋简体"/>
          <w:bCs/>
          <w:color w:val="000000"/>
          <w:spacing w:val="6"/>
          <w:sz w:val="40"/>
          <w:szCs w:val="40"/>
        </w:rPr>
      </w:pPr>
      <w:r>
        <w:rPr>
          <w:rFonts w:hint="eastAsia" w:ascii="方正小标宋简体" w:hAnsi="方正小标宋简体" w:eastAsia="方正小标宋简体"/>
          <w:bCs/>
          <w:color w:val="000000"/>
          <w:spacing w:val="6"/>
          <w:sz w:val="40"/>
          <w:szCs w:val="40"/>
        </w:rPr>
        <w:t>（征求意见稿）》编制说明</w:t>
      </w:r>
    </w:p>
    <w:p>
      <w:pPr>
        <w:autoSpaceDN w:val="0"/>
        <w:spacing w:before="156" w:beforeLines="50" w:line="360" w:lineRule="auto"/>
        <w:jc w:val="center"/>
        <w:rPr>
          <w:rFonts w:ascii="方正小标宋简体" w:hAnsi="方正小标宋简体" w:eastAsia="方正小标宋简体"/>
          <w:bCs/>
          <w:color w:val="000000"/>
          <w:spacing w:val="6"/>
          <w:sz w:val="40"/>
          <w:szCs w:val="40"/>
        </w:rPr>
      </w:pPr>
    </w:p>
    <w:p>
      <w:pPr>
        <w:autoSpaceDN w:val="0"/>
        <w:spacing w:before="156" w:beforeLines="50" w:line="360" w:lineRule="auto"/>
        <w:jc w:val="center"/>
        <w:rPr>
          <w:rFonts w:ascii="方正小标宋简体" w:hAnsi="方正小标宋简体" w:eastAsia="方正小标宋简体"/>
          <w:bCs/>
          <w:color w:val="000000"/>
          <w:spacing w:val="6"/>
          <w:sz w:val="40"/>
          <w:szCs w:val="40"/>
        </w:rPr>
      </w:pPr>
    </w:p>
    <w:p>
      <w:pPr>
        <w:autoSpaceDN w:val="0"/>
        <w:spacing w:before="156" w:beforeLines="50" w:line="360" w:lineRule="auto"/>
        <w:jc w:val="center"/>
        <w:rPr>
          <w:rFonts w:ascii="方正小标宋简体" w:hAnsi="方正小标宋简体" w:eastAsia="方正小标宋简体"/>
          <w:bCs/>
          <w:color w:val="000000"/>
          <w:spacing w:val="6"/>
          <w:sz w:val="40"/>
          <w:szCs w:val="40"/>
        </w:rPr>
      </w:pPr>
    </w:p>
    <w:p>
      <w:pPr>
        <w:autoSpaceDN w:val="0"/>
        <w:spacing w:before="156" w:beforeLines="50" w:line="360" w:lineRule="auto"/>
        <w:jc w:val="center"/>
        <w:rPr>
          <w:rFonts w:ascii="方正小标宋简体" w:hAnsi="方正小标宋简体" w:eastAsia="方正小标宋简体"/>
          <w:bCs/>
          <w:color w:val="000000"/>
          <w:spacing w:val="6"/>
          <w:sz w:val="40"/>
          <w:szCs w:val="40"/>
        </w:rPr>
      </w:pPr>
    </w:p>
    <w:p>
      <w:pPr>
        <w:autoSpaceDN w:val="0"/>
        <w:spacing w:before="156" w:beforeLines="50" w:line="360" w:lineRule="auto"/>
        <w:jc w:val="center"/>
        <w:rPr>
          <w:rFonts w:ascii="方正小标宋简体" w:hAnsi="方正小标宋简体" w:eastAsia="方正小标宋简体"/>
          <w:bCs/>
          <w:color w:val="000000"/>
          <w:spacing w:val="6"/>
          <w:sz w:val="40"/>
          <w:szCs w:val="40"/>
        </w:rPr>
      </w:pPr>
    </w:p>
    <w:p>
      <w:pPr>
        <w:autoSpaceDN w:val="0"/>
        <w:spacing w:before="156" w:beforeLines="50" w:line="360" w:lineRule="auto"/>
        <w:jc w:val="center"/>
        <w:rPr>
          <w:rFonts w:ascii="方正小标宋简体" w:hAnsi="方正小标宋简体" w:eastAsia="方正小标宋简体"/>
          <w:bCs/>
          <w:color w:val="000000"/>
          <w:spacing w:val="6"/>
          <w:sz w:val="40"/>
          <w:szCs w:val="40"/>
        </w:rPr>
      </w:pPr>
    </w:p>
    <w:p>
      <w:pPr>
        <w:autoSpaceDN w:val="0"/>
        <w:spacing w:before="156" w:beforeLines="50" w:line="360" w:lineRule="auto"/>
        <w:jc w:val="center"/>
        <w:rPr>
          <w:rFonts w:ascii="方正小标宋简体" w:hAnsi="方正小标宋简体" w:eastAsia="方正小标宋简体"/>
          <w:bCs/>
          <w:color w:val="000000"/>
          <w:spacing w:val="6"/>
          <w:sz w:val="40"/>
          <w:szCs w:val="40"/>
        </w:rPr>
      </w:pPr>
    </w:p>
    <w:p>
      <w:pPr>
        <w:autoSpaceDN w:val="0"/>
        <w:spacing w:before="156" w:beforeLines="50" w:line="360" w:lineRule="auto"/>
        <w:jc w:val="center"/>
        <w:rPr>
          <w:rFonts w:ascii="方正小标宋简体" w:hAnsi="方正小标宋简体" w:eastAsia="方正小标宋简体"/>
          <w:bCs/>
          <w:color w:val="000000"/>
          <w:spacing w:val="6"/>
          <w:sz w:val="40"/>
          <w:szCs w:val="40"/>
        </w:rPr>
      </w:pPr>
    </w:p>
    <w:p>
      <w:pPr>
        <w:autoSpaceDN w:val="0"/>
        <w:spacing w:before="156" w:beforeLines="50" w:line="360" w:lineRule="auto"/>
        <w:jc w:val="center"/>
        <w:rPr>
          <w:rFonts w:ascii="方正小标宋简体" w:hAnsi="方正小标宋简体" w:eastAsia="方正小标宋简体"/>
          <w:bCs/>
          <w:color w:val="000000"/>
          <w:spacing w:val="6"/>
          <w:sz w:val="40"/>
          <w:szCs w:val="40"/>
        </w:rPr>
      </w:pPr>
    </w:p>
    <w:p>
      <w:pPr>
        <w:autoSpaceDN w:val="0"/>
        <w:spacing w:before="156" w:beforeLines="50" w:line="360" w:lineRule="auto"/>
        <w:jc w:val="center"/>
        <w:rPr>
          <w:rFonts w:ascii="方正小标宋简体" w:hAnsi="方正小标宋简体" w:eastAsia="方正小标宋简体"/>
          <w:bCs/>
          <w:color w:val="000000"/>
          <w:spacing w:val="6"/>
          <w:sz w:val="40"/>
          <w:szCs w:val="40"/>
        </w:rPr>
      </w:pPr>
    </w:p>
    <w:p>
      <w:pPr>
        <w:autoSpaceDN w:val="0"/>
        <w:spacing w:before="156" w:beforeLines="50" w:line="360" w:lineRule="auto"/>
        <w:jc w:val="center"/>
        <w:rPr>
          <w:rFonts w:ascii="方正小标宋简体" w:hAnsi="方正小标宋简体" w:eastAsia="方正小标宋简体"/>
          <w:bCs/>
          <w:color w:val="000000"/>
          <w:spacing w:val="6"/>
          <w:sz w:val="40"/>
          <w:szCs w:val="40"/>
        </w:rPr>
      </w:pPr>
    </w:p>
    <w:p>
      <w:pPr>
        <w:autoSpaceDN w:val="0"/>
        <w:spacing w:before="156" w:beforeLines="50" w:line="360" w:lineRule="auto"/>
        <w:jc w:val="center"/>
        <w:rPr>
          <w:rFonts w:ascii="楷体" w:hAnsi="楷体" w:eastAsia="楷体"/>
          <w:bCs/>
          <w:color w:val="000000"/>
          <w:spacing w:val="6"/>
          <w:sz w:val="36"/>
          <w:szCs w:val="36"/>
        </w:rPr>
      </w:pPr>
      <w:r>
        <w:rPr>
          <w:rFonts w:hint="eastAsia" w:ascii="楷体" w:hAnsi="楷体" w:eastAsia="楷体"/>
          <w:bCs/>
          <w:color w:val="000000"/>
          <w:spacing w:val="6"/>
          <w:sz w:val="36"/>
          <w:szCs w:val="36"/>
        </w:rPr>
        <w:t>二〇二三年八月</w:t>
      </w:r>
    </w:p>
    <w:p/>
    <w:p/>
    <w:p>
      <w:pPr>
        <w:rPr>
          <w:lang w:val="zh-CN"/>
        </w:rPr>
      </w:pPr>
    </w:p>
    <w:sdt>
      <w:sdtPr>
        <w:rPr>
          <w:lang w:val="zh-CN"/>
        </w:rPr>
        <w:id w:val="-1824034400"/>
        <w:docPartObj>
          <w:docPartGallery w:val="Table of Contents"/>
          <w:docPartUnique/>
        </w:docPartObj>
      </w:sdtPr>
      <w:sdtEndPr>
        <w:rPr>
          <w:rFonts w:ascii="黑体" w:hAnsi="黑体" w:eastAsia="黑体"/>
          <w:b/>
          <w:bCs/>
          <w:sz w:val="32"/>
          <w:szCs w:val="36"/>
          <w:lang w:val="zh-CN"/>
        </w:rPr>
      </w:sdtEndPr>
      <w:sdtContent>
        <w:p>
          <w:pPr>
            <w:rPr>
              <w:lang w:val="zh-CN"/>
            </w:rPr>
          </w:pPr>
        </w:p>
        <w:p>
          <w:pPr>
            <w:pStyle w:val="11"/>
            <w:jc w:val="center"/>
            <w:rPr>
              <w:rFonts w:ascii="黑体" w:hAnsi="黑体" w:eastAsia="黑体"/>
              <w:color w:val="000000" w:themeColor="text1"/>
              <w:sz w:val="48"/>
              <w:szCs w:val="48"/>
              <w:lang w:val="zh-CN"/>
              <w14:textFill>
                <w14:solidFill>
                  <w14:schemeClr w14:val="tx1"/>
                </w14:solidFill>
              </w14:textFill>
            </w:rPr>
          </w:pPr>
          <w:r>
            <w:rPr>
              <w:rFonts w:ascii="黑体" w:hAnsi="黑体" w:eastAsia="黑体"/>
              <w:color w:val="000000" w:themeColor="text1"/>
              <w:sz w:val="48"/>
              <w:szCs w:val="48"/>
              <w:lang w:val="zh-CN"/>
              <w14:textFill>
                <w14:solidFill>
                  <w14:schemeClr w14:val="tx1"/>
                </w14:solidFill>
              </w14:textFill>
            </w:rPr>
            <w:t>目</w:t>
          </w:r>
          <w:r>
            <w:rPr>
              <w:rFonts w:hint="eastAsia" w:ascii="黑体" w:hAnsi="黑体" w:eastAsia="黑体"/>
              <w:color w:val="000000" w:themeColor="text1"/>
              <w:sz w:val="48"/>
              <w:szCs w:val="48"/>
              <w:lang w:val="zh-CN"/>
              <w14:textFill>
                <w14:solidFill>
                  <w14:schemeClr w14:val="tx1"/>
                </w14:solidFill>
              </w14:textFill>
            </w:rPr>
            <w:t xml:space="preserve"> </w:t>
          </w:r>
          <w:r>
            <w:rPr>
              <w:rFonts w:ascii="黑体" w:hAnsi="黑体" w:eastAsia="黑体"/>
              <w:color w:val="000000" w:themeColor="text1"/>
              <w:sz w:val="48"/>
              <w:szCs w:val="48"/>
              <w:lang w:val="zh-CN"/>
              <w14:textFill>
                <w14:solidFill>
                  <w14:schemeClr w14:val="tx1"/>
                </w14:solidFill>
              </w14:textFill>
            </w:rPr>
            <w:t xml:space="preserve"> 录</w:t>
          </w:r>
        </w:p>
        <w:p>
          <w:pPr>
            <w:rPr>
              <w:lang w:val="zh-CN"/>
            </w:rPr>
          </w:pPr>
        </w:p>
        <w:p>
          <w:pPr>
            <w:pStyle w:val="5"/>
            <w:tabs>
              <w:tab w:val="right" w:leader="dot" w:pos="8296"/>
            </w:tabs>
            <w:rPr>
              <w:rFonts w:ascii="黑体" w:hAnsi="黑体" w:eastAsia="黑体"/>
              <w:sz w:val="32"/>
              <w:szCs w:val="36"/>
            </w:rPr>
          </w:pPr>
          <w:r>
            <w:rPr>
              <w:rFonts w:ascii="黑体" w:hAnsi="黑体" w:eastAsia="黑体"/>
              <w:sz w:val="32"/>
              <w:szCs w:val="36"/>
            </w:rPr>
            <w:fldChar w:fldCharType="begin"/>
          </w:r>
          <w:r>
            <w:rPr>
              <w:rFonts w:ascii="黑体" w:hAnsi="黑体" w:eastAsia="黑体"/>
              <w:sz w:val="32"/>
              <w:szCs w:val="36"/>
            </w:rPr>
            <w:instrText xml:space="preserve"> TOC \o "1-3" \h \z \u </w:instrText>
          </w:r>
          <w:r>
            <w:rPr>
              <w:rFonts w:ascii="黑体" w:hAnsi="黑体" w:eastAsia="黑体"/>
              <w:sz w:val="32"/>
              <w:szCs w:val="36"/>
            </w:rPr>
            <w:fldChar w:fldCharType="separate"/>
          </w:r>
          <w:r>
            <w:fldChar w:fldCharType="begin"/>
          </w:r>
          <w:r>
            <w:instrText xml:space="preserve"> HYPERLINK \l "_Toc142870620" </w:instrText>
          </w:r>
          <w:r>
            <w:fldChar w:fldCharType="separate"/>
          </w:r>
          <w:r>
            <w:rPr>
              <w:rStyle w:val="8"/>
              <w:rFonts w:ascii="黑体" w:hAnsi="黑体" w:eastAsia="黑体"/>
              <w:sz w:val="32"/>
              <w:szCs w:val="36"/>
            </w:rPr>
            <w:t>一、 编制背景</w:t>
          </w:r>
          <w:r>
            <w:rPr>
              <w:rFonts w:ascii="黑体" w:hAnsi="黑体" w:eastAsia="黑体"/>
              <w:sz w:val="32"/>
              <w:szCs w:val="36"/>
            </w:rPr>
            <w:tab/>
          </w:r>
          <w:r>
            <w:rPr>
              <w:rFonts w:ascii="黑体" w:hAnsi="黑体" w:eastAsia="黑体"/>
              <w:sz w:val="32"/>
              <w:szCs w:val="36"/>
            </w:rPr>
            <w:fldChar w:fldCharType="begin"/>
          </w:r>
          <w:r>
            <w:rPr>
              <w:rFonts w:ascii="黑体" w:hAnsi="黑体" w:eastAsia="黑体"/>
              <w:sz w:val="32"/>
              <w:szCs w:val="36"/>
            </w:rPr>
            <w:instrText xml:space="preserve"> PAGEREF _Toc142870620 \h </w:instrText>
          </w:r>
          <w:r>
            <w:rPr>
              <w:rFonts w:ascii="黑体" w:hAnsi="黑体" w:eastAsia="黑体"/>
              <w:sz w:val="32"/>
              <w:szCs w:val="36"/>
            </w:rPr>
            <w:fldChar w:fldCharType="separate"/>
          </w:r>
          <w:r>
            <w:rPr>
              <w:rFonts w:ascii="黑体" w:hAnsi="黑体" w:eastAsia="黑体"/>
              <w:sz w:val="32"/>
              <w:szCs w:val="36"/>
            </w:rPr>
            <w:t>3</w:t>
          </w:r>
          <w:r>
            <w:rPr>
              <w:rFonts w:ascii="黑体" w:hAnsi="黑体" w:eastAsia="黑体"/>
              <w:sz w:val="32"/>
              <w:szCs w:val="36"/>
            </w:rPr>
            <w:fldChar w:fldCharType="end"/>
          </w:r>
          <w:r>
            <w:rPr>
              <w:rFonts w:ascii="黑体" w:hAnsi="黑体" w:eastAsia="黑体"/>
              <w:sz w:val="32"/>
              <w:szCs w:val="36"/>
            </w:rPr>
            <w:fldChar w:fldCharType="end"/>
          </w:r>
        </w:p>
        <w:p>
          <w:pPr>
            <w:pStyle w:val="5"/>
            <w:tabs>
              <w:tab w:val="right" w:leader="dot" w:pos="8296"/>
            </w:tabs>
            <w:rPr>
              <w:rFonts w:ascii="黑体" w:hAnsi="黑体" w:eastAsia="黑体"/>
              <w:sz w:val="32"/>
              <w:szCs w:val="36"/>
            </w:rPr>
          </w:pPr>
          <w:r>
            <w:fldChar w:fldCharType="begin"/>
          </w:r>
          <w:r>
            <w:instrText xml:space="preserve"> HYPERLINK \l "_Toc142870621" </w:instrText>
          </w:r>
          <w:r>
            <w:fldChar w:fldCharType="separate"/>
          </w:r>
          <w:r>
            <w:rPr>
              <w:rStyle w:val="8"/>
              <w:rFonts w:ascii="黑体" w:hAnsi="黑体" w:eastAsia="黑体"/>
              <w:sz w:val="32"/>
              <w:szCs w:val="36"/>
            </w:rPr>
            <w:t>二、 编制依据</w:t>
          </w:r>
          <w:r>
            <w:rPr>
              <w:rFonts w:ascii="黑体" w:hAnsi="黑体" w:eastAsia="黑体"/>
              <w:sz w:val="32"/>
              <w:szCs w:val="36"/>
            </w:rPr>
            <w:tab/>
          </w:r>
          <w:r>
            <w:rPr>
              <w:rFonts w:ascii="黑体" w:hAnsi="黑体" w:eastAsia="黑体"/>
              <w:sz w:val="32"/>
              <w:szCs w:val="36"/>
            </w:rPr>
            <w:fldChar w:fldCharType="begin"/>
          </w:r>
          <w:r>
            <w:rPr>
              <w:rFonts w:ascii="黑体" w:hAnsi="黑体" w:eastAsia="黑体"/>
              <w:sz w:val="32"/>
              <w:szCs w:val="36"/>
            </w:rPr>
            <w:instrText xml:space="preserve"> PAGEREF _Toc142870621 \h </w:instrText>
          </w:r>
          <w:r>
            <w:rPr>
              <w:rFonts w:ascii="黑体" w:hAnsi="黑体" w:eastAsia="黑体"/>
              <w:sz w:val="32"/>
              <w:szCs w:val="36"/>
            </w:rPr>
            <w:fldChar w:fldCharType="separate"/>
          </w:r>
          <w:r>
            <w:rPr>
              <w:rFonts w:ascii="黑体" w:hAnsi="黑体" w:eastAsia="黑体"/>
              <w:sz w:val="32"/>
              <w:szCs w:val="36"/>
            </w:rPr>
            <w:t>4</w:t>
          </w:r>
          <w:r>
            <w:rPr>
              <w:rFonts w:ascii="黑体" w:hAnsi="黑体" w:eastAsia="黑体"/>
              <w:sz w:val="32"/>
              <w:szCs w:val="36"/>
            </w:rPr>
            <w:fldChar w:fldCharType="end"/>
          </w:r>
          <w:r>
            <w:rPr>
              <w:rFonts w:ascii="黑体" w:hAnsi="黑体" w:eastAsia="黑体"/>
              <w:sz w:val="32"/>
              <w:szCs w:val="36"/>
            </w:rPr>
            <w:fldChar w:fldCharType="end"/>
          </w:r>
        </w:p>
        <w:p>
          <w:pPr>
            <w:pStyle w:val="5"/>
            <w:tabs>
              <w:tab w:val="right" w:leader="dot" w:pos="8296"/>
            </w:tabs>
            <w:rPr>
              <w:rFonts w:ascii="黑体" w:hAnsi="黑体" w:eastAsia="黑体"/>
              <w:sz w:val="32"/>
              <w:szCs w:val="36"/>
            </w:rPr>
          </w:pPr>
          <w:r>
            <w:fldChar w:fldCharType="begin"/>
          </w:r>
          <w:r>
            <w:instrText xml:space="preserve"> HYPERLINK \l "_Toc142870622" </w:instrText>
          </w:r>
          <w:r>
            <w:fldChar w:fldCharType="separate"/>
          </w:r>
          <w:r>
            <w:rPr>
              <w:rStyle w:val="8"/>
              <w:rFonts w:ascii="黑体" w:hAnsi="黑体" w:eastAsia="黑体"/>
              <w:sz w:val="32"/>
              <w:szCs w:val="36"/>
            </w:rPr>
            <w:t>三、 编制过程</w:t>
          </w:r>
          <w:r>
            <w:rPr>
              <w:rFonts w:ascii="黑体" w:hAnsi="黑体" w:eastAsia="黑体"/>
              <w:sz w:val="32"/>
              <w:szCs w:val="36"/>
            </w:rPr>
            <w:tab/>
          </w:r>
          <w:r>
            <w:rPr>
              <w:rFonts w:ascii="黑体" w:hAnsi="黑体" w:eastAsia="黑体"/>
              <w:sz w:val="32"/>
              <w:szCs w:val="36"/>
            </w:rPr>
            <w:fldChar w:fldCharType="begin"/>
          </w:r>
          <w:r>
            <w:rPr>
              <w:rFonts w:ascii="黑体" w:hAnsi="黑体" w:eastAsia="黑体"/>
              <w:sz w:val="32"/>
              <w:szCs w:val="36"/>
            </w:rPr>
            <w:instrText xml:space="preserve"> PAGEREF _Toc142870622 \h </w:instrText>
          </w:r>
          <w:r>
            <w:rPr>
              <w:rFonts w:ascii="黑体" w:hAnsi="黑体" w:eastAsia="黑体"/>
              <w:sz w:val="32"/>
              <w:szCs w:val="36"/>
            </w:rPr>
            <w:fldChar w:fldCharType="separate"/>
          </w:r>
          <w:r>
            <w:rPr>
              <w:rFonts w:ascii="黑体" w:hAnsi="黑体" w:eastAsia="黑体"/>
              <w:sz w:val="32"/>
              <w:szCs w:val="36"/>
            </w:rPr>
            <w:t>4</w:t>
          </w:r>
          <w:r>
            <w:rPr>
              <w:rFonts w:ascii="黑体" w:hAnsi="黑体" w:eastAsia="黑体"/>
              <w:sz w:val="32"/>
              <w:szCs w:val="36"/>
            </w:rPr>
            <w:fldChar w:fldCharType="end"/>
          </w:r>
          <w:r>
            <w:rPr>
              <w:rFonts w:ascii="黑体" w:hAnsi="黑体" w:eastAsia="黑体"/>
              <w:sz w:val="32"/>
              <w:szCs w:val="36"/>
            </w:rPr>
            <w:fldChar w:fldCharType="end"/>
          </w:r>
        </w:p>
        <w:p>
          <w:pPr>
            <w:pStyle w:val="5"/>
            <w:tabs>
              <w:tab w:val="right" w:leader="dot" w:pos="8296"/>
            </w:tabs>
            <w:rPr>
              <w:rFonts w:ascii="黑体" w:hAnsi="黑体" w:eastAsia="黑体"/>
              <w:sz w:val="32"/>
              <w:szCs w:val="36"/>
            </w:rPr>
          </w:pPr>
          <w:r>
            <w:fldChar w:fldCharType="begin"/>
          </w:r>
          <w:r>
            <w:instrText xml:space="preserve"> HYPERLINK \l "_Toc142870623" </w:instrText>
          </w:r>
          <w:r>
            <w:fldChar w:fldCharType="separate"/>
          </w:r>
          <w:r>
            <w:rPr>
              <w:rStyle w:val="8"/>
              <w:rFonts w:ascii="黑体" w:hAnsi="黑体" w:eastAsia="黑体"/>
              <w:sz w:val="32"/>
              <w:szCs w:val="36"/>
            </w:rPr>
            <w:t>四、 区划概况</w:t>
          </w:r>
          <w:r>
            <w:rPr>
              <w:rFonts w:ascii="黑体" w:hAnsi="黑体" w:eastAsia="黑体"/>
              <w:sz w:val="32"/>
              <w:szCs w:val="36"/>
            </w:rPr>
            <w:tab/>
          </w:r>
          <w:r>
            <w:rPr>
              <w:rFonts w:ascii="黑体" w:hAnsi="黑体" w:eastAsia="黑体"/>
              <w:sz w:val="32"/>
              <w:szCs w:val="36"/>
            </w:rPr>
            <w:fldChar w:fldCharType="begin"/>
          </w:r>
          <w:r>
            <w:rPr>
              <w:rFonts w:ascii="黑体" w:hAnsi="黑体" w:eastAsia="黑体"/>
              <w:sz w:val="32"/>
              <w:szCs w:val="36"/>
            </w:rPr>
            <w:instrText xml:space="preserve"> PAGEREF _Toc142870623 \h </w:instrText>
          </w:r>
          <w:r>
            <w:rPr>
              <w:rFonts w:ascii="黑体" w:hAnsi="黑体" w:eastAsia="黑体"/>
              <w:sz w:val="32"/>
              <w:szCs w:val="36"/>
            </w:rPr>
            <w:fldChar w:fldCharType="separate"/>
          </w:r>
          <w:r>
            <w:rPr>
              <w:rFonts w:ascii="黑体" w:hAnsi="黑体" w:eastAsia="黑体"/>
              <w:sz w:val="32"/>
              <w:szCs w:val="36"/>
            </w:rPr>
            <w:t>5</w:t>
          </w:r>
          <w:r>
            <w:rPr>
              <w:rFonts w:ascii="黑体" w:hAnsi="黑体" w:eastAsia="黑体"/>
              <w:sz w:val="32"/>
              <w:szCs w:val="36"/>
            </w:rPr>
            <w:fldChar w:fldCharType="end"/>
          </w:r>
          <w:r>
            <w:rPr>
              <w:rFonts w:ascii="黑体" w:hAnsi="黑体" w:eastAsia="黑体"/>
              <w:sz w:val="32"/>
              <w:szCs w:val="36"/>
            </w:rPr>
            <w:fldChar w:fldCharType="end"/>
          </w:r>
        </w:p>
        <w:p>
          <w:pPr>
            <w:pStyle w:val="5"/>
            <w:tabs>
              <w:tab w:val="right" w:leader="dot" w:pos="8296"/>
            </w:tabs>
            <w:rPr>
              <w:rFonts w:ascii="黑体" w:hAnsi="黑体" w:eastAsia="黑体"/>
              <w:sz w:val="32"/>
              <w:szCs w:val="36"/>
            </w:rPr>
          </w:pPr>
          <w:r>
            <w:fldChar w:fldCharType="begin"/>
          </w:r>
          <w:r>
            <w:instrText xml:space="preserve"> HYPERLINK \l "_Toc142870624" </w:instrText>
          </w:r>
          <w:r>
            <w:fldChar w:fldCharType="separate"/>
          </w:r>
          <w:r>
            <w:rPr>
              <w:rStyle w:val="8"/>
              <w:rFonts w:ascii="黑体" w:hAnsi="黑体" w:eastAsia="黑体"/>
              <w:sz w:val="32"/>
              <w:szCs w:val="36"/>
            </w:rPr>
            <w:t>五、 区划技术说明</w:t>
          </w:r>
          <w:r>
            <w:rPr>
              <w:rFonts w:ascii="黑体" w:hAnsi="黑体" w:eastAsia="黑体"/>
              <w:sz w:val="32"/>
              <w:szCs w:val="36"/>
            </w:rPr>
            <w:tab/>
          </w:r>
          <w:r>
            <w:rPr>
              <w:rFonts w:ascii="黑体" w:hAnsi="黑体" w:eastAsia="黑体"/>
              <w:sz w:val="32"/>
              <w:szCs w:val="36"/>
            </w:rPr>
            <w:fldChar w:fldCharType="begin"/>
          </w:r>
          <w:r>
            <w:rPr>
              <w:rFonts w:ascii="黑体" w:hAnsi="黑体" w:eastAsia="黑体"/>
              <w:sz w:val="32"/>
              <w:szCs w:val="36"/>
            </w:rPr>
            <w:instrText xml:space="preserve"> PAGEREF _Toc142870624 \h </w:instrText>
          </w:r>
          <w:r>
            <w:rPr>
              <w:rFonts w:ascii="黑体" w:hAnsi="黑体" w:eastAsia="黑体"/>
              <w:sz w:val="32"/>
              <w:szCs w:val="36"/>
            </w:rPr>
            <w:fldChar w:fldCharType="separate"/>
          </w:r>
          <w:r>
            <w:rPr>
              <w:rFonts w:ascii="黑体" w:hAnsi="黑体" w:eastAsia="黑体"/>
              <w:sz w:val="32"/>
              <w:szCs w:val="36"/>
            </w:rPr>
            <w:t>5</w:t>
          </w:r>
          <w:r>
            <w:rPr>
              <w:rFonts w:ascii="黑体" w:hAnsi="黑体" w:eastAsia="黑体"/>
              <w:sz w:val="32"/>
              <w:szCs w:val="36"/>
            </w:rPr>
            <w:fldChar w:fldCharType="end"/>
          </w:r>
          <w:r>
            <w:rPr>
              <w:rFonts w:ascii="黑体" w:hAnsi="黑体" w:eastAsia="黑体"/>
              <w:sz w:val="32"/>
              <w:szCs w:val="36"/>
            </w:rPr>
            <w:fldChar w:fldCharType="end"/>
          </w:r>
        </w:p>
        <w:p>
          <w:pPr>
            <w:rPr>
              <w:rFonts w:ascii="黑体" w:hAnsi="黑体" w:eastAsia="黑体"/>
              <w:sz w:val="32"/>
              <w:szCs w:val="36"/>
            </w:rPr>
          </w:pPr>
          <w:r>
            <w:rPr>
              <w:rFonts w:ascii="黑体" w:hAnsi="黑体" w:eastAsia="黑体"/>
              <w:b/>
              <w:bCs/>
              <w:sz w:val="32"/>
              <w:szCs w:val="36"/>
              <w:lang w:val="zh-CN"/>
            </w:rPr>
            <w:fldChar w:fldCharType="end"/>
          </w:r>
        </w:p>
      </w:sdtContent>
    </w:sdt>
    <w:p>
      <w:pPr>
        <w:widowControl/>
        <w:jc w:val="left"/>
        <w:sectPr>
          <w:footerReference r:id="rId3" w:type="default"/>
          <w:pgSz w:w="11906" w:h="16838"/>
          <w:pgMar w:top="1440" w:right="1800" w:bottom="1440" w:left="1800" w:header="851" w:footer="992" w:gutter="0"/>
          <w:cols w:space="425" w:num="1"/>
          <w:docGrid w:type="lines" w:linePitch="312" w:charSpace="0"/>
        </w:sectPr>
      </w:pPr>
    </w:p>
    <w:p>
      <w:pPr>
        <w:pStyle w:val="9"/>
        <w:numPr>
          <w:ilvl w:val="0"/>
          <w:numId w:val="1"/>
        </w:numPr>
        <w:spacing w:line="560" w:lineRule="exact"/>
        <w:ind w:firstLineChars="0"/>
        <w:outlineLvl w:val="0"/>
        <w:rPr>
          <w:rFonts w:ascii="黑体" w:hAnsi="黑体" w:eastAsia="黑体"/>
          <w:sz w:val="32"/>
          <w:szCs w:val="32"/>
        </w:rPr>
      </w:pPr>
      <w:bookmarkStart w:id="0" w:name="_Toc142870620"/>
      <w:r>
        <w:rPr>
          <w:rFonts w:hint="eastAsia" w:ascii="黑体" w:hAnsi="黑体" w:eastAsia="黑体"/>
          <w:sz w:val="32"/>
          <w:szCs w:val="32"/>
        </w:rPr>
        <w:t>编制背景</w:t>
      </w:r>
      <w:bookmarkEnd w:id="0"/>
    </w:p>
    <w:p>
      <w:pPr>
        <w:pStyle w:val="9"/>
        <w:spacing w:line="560" w:lineRule="exact"/>
        <w:ind w:firstLine="640"/>
        <w:rPr>
          <w:rFonts w:ascii="仿宋_GB2312" w:eastAsia="仿宋_GB2312"/>
          <w:sz w:val="32"/>
          <w:szCs w:val="32"/>
        </w:rPr>
      </w:pPr>
      <w:r>
        <w:rPr>
          <w:rFonts w:hint="eastAsia" w:ascii="仿宋_GB2312" w:eastAsia="仿宋_GB2312"/>
          <w:sz w:val="32"/>
          <w:szCs w:val="32"/>
        </w:rPr>
        <w:t>柳州市现行的声环境功能区划执行的是2018年9月柳州市人民政府以柳政办〔2018〕48号印发的《柳州市城市区域声环境功能区划分调整方案》，目前已执行将近5年期限。该区划方案执行期间实现了对城市区域范围声环境的有效管理，对控制噪声污染、改善声环境质量起到积极成效。</w:t>
      </w:r>
    </w:p>
    <w:p>
      <w:pPr>
        <w:pStyle w:val="9"/>
        <w:spacing w:line="560" w:lineRule="exact"/>
        <w:ind w:firstLine="640"/>
        <w:rPr>
          <w:rFonts w:ascii="仿宋_GB2312" w:eastAsia="仿宋_GB2312"/>
          <w:sz w:val="32"/>
          <w:szCs w:val="32"/>
        </w:rPr>
      </w:pPr>
      <w:r>
        <w:rPr>
          <w:rFonts w:hint="eastAsia" w:ascii="仿宋_GB2312" w:eastAsia="仿宋_GB2312"/>
          <w:sz w:val="32"/>
          <w:szCs w:val="32"/>
        </w:rPr>
        <w:t>为贯彻《中华人民共和国噪声污染防治法》，落实《声环境功能区划分情况评估工作方案》(环办便函〔2023〕98号）、《加强噪声监测工作的意见》（环办监测〔2023〕2号）等有关文件要求，我市根据相关技术要求对现行方案进行了全面评估，梳理存在的问题，总结整改措施，以此对现行区划作进一步修改完善。同时随着柳州市经济与社会发展，土地利用现状已发生调整，影响城市声环境质量的要素有所改变，现行部分声环境功能区已不能满足声环境管理的需求，亟需对其进行调整。</w:t>
      </w:r>
    </w:p>
    <w:p>
      <w:pPr>
        <w:pStyle w:val="9"/>
        <w:spacing w:line="560" w:lineRule="exact"/>
        <w:ind w:firstLine="640"/>
        <w:rPr>
          <w:rFonts w:ascii="仿宋_GB2312" w:eastAsia="仿宋_GB2312"/>
          <w:sz w:val="32"/>
          <w:szCs w:val="32"/>
        </w:rPr>
      </w:pPr>
      <w:r>
        <w:rPr>
          <w:rFonts w:hint="eastAsia" w:ascii="仿宋_GB2312" w:eastAsia="仿宋_GB2312"/>
          <w:sz w:val="32"/>
          <w:szCs w:val="32"/>
        </w:rPr>
        <w:t>现根据《中华人民共和国环境噪声污染防治法》、《声环境质量标准》（GB 3096-2008）的有关规定，以《声环境功能区划分技术规范》（GB/T 15190-2014）为依据，以《柳州市城市总体规划（2010-2020年）》、《广西柳州汽车城总体规划（2010-2030）》及《柳江县城总体规划（2010-2030）》为基础，结合《柳州市国土空间总体规划（2021-2035年）》（过程稿）和市区的土地利用现状，参考城市环境噪声管理有关的要求，对柳州市城市区域内的声环境质量功能区划进行调整划分,以适应城市发展和保障市民享有良好声环境的需要。</w:t>
      </w:r>
    </w:p>
    <w:p>
      <w:pPr>
        <w:pStyle w:val="9"/>
        <w:numPr>
          <w:ilvl w:val="0"/>
          <w:numId w:val="2"/>
        </w:numPr>
        <w:spacing w:line="560" w:lineRule="exact"/>
        <w:ind w:firstLineChars="0"/>
        <w:outlineLvl w:val="0"/>
        <w:rPr>
          <w:rFonts w:ascii="黑体" w:hAnsi="黑体" w:eastAsia="黑体"/>
          <w:sz w:val="32"/>
          <w:szCs w:val="32"/>
        </w:rPr>
      </w:pPr>
      <w:bookmarkStart w:id="1" w:name="_Toc142870621"/>
      <w:r>
        <w:rPr>
          <w:rFonts w:hint="eastAsia" w:ascii="黑体" w:hAnsi="黑体" w:eastAsia="黑体"/>
          <w:sz w:val="32"/>
          <w:szCs w:val="32"/>
        </w:rPr>
        <w:t>编制依据</w:t>
      </w:r>
      <w:bookmarkEnd w:id="1"/>
    </w:p>
    <w:p>
      <w:pPr>
        <w:pStyle w:val="9"/>
        <w:spacing w:line="560" w:lineRule="exact"/>
        <w:ind w:firstLine="640"/>
        <w:rPr>
          <w:rFonts w:ascii="仿宋_GB2312" w:hAnsi="黑体" w:eastAsia="仿宋_GB2312"/>
          <w:sz w:val="32"/>
          <w:szCs w:val="32"/>
        </w:rPr>
      </w:pPr>
      <w:r>
        <w:rPr>
          <w:rFonts w:hint="eastAsia" w:ascii="仿宋_GB2312" w:hAnsi="黑体" w:eastAsia="仿宋_GB2312"/>
          <w:sz w:val="32"/>
          <w:szCs w:val="32"/>
        </w:rPr>
        <w:t>（一）《中华人民共和国环境保护法》；</w:t>
      </w:r>
    </w:p>
    <w:p>
      <w:pPr>
        <w:pStyle w:val="9"/>
        <w:spacing w:line="560" w:lineRule="exact"/>
        <w:ind w:firstLine="640"/>
        <w:rPr>
          <w:rFonts w:ascii="仿宋_GB2312" w:hAnsi="黑体" w:eastAsia="仿宋_GB2312"/>
          <w:sz w:val="32"/>
          <w:szCs w:val="32"/>
        </w:rPr>
      </w:pPr>
      <w:r>
        <w:rPr>
          <w:rFonts w:hint="eastAsia" w:ascii="仿宋_GB2312" w:hAnsi="黑体" w:eastAsia="仿宋_GB2312"/>
          <w:sz w:val="32"/>
          <w:szCs w:val="32"/>
        </w:rPr>
        <w:t>（二）《中华人民共和国环境噪声污染防治法》；</w:t>
      </w:r>
    </w:p>
    <w:p>
      <w:pPr>
        <w:pStyle w:val="9"/>
        <w:spacing w:line="560" w:lineRule="exact"/>
        <w:ind w:firstLine="640"/>
        <w:rPr>
          <w:rFonts w:ascii="仿宋_GB2312" w:hAnsi="黑体" w:eastAsia="仿宋_GB2312"/>
          <w:sz w:val="32"/>
          <w:szCs w:val="32"/>
        </w:rPr>
      </w:pPr>
      <w:r>
        <w:rPr>
          <w:rFonts w:hint="eastAsia" w:ascii="仿宋_GB2312" w:hAnsi="黑体" w:eastAsia="仿宋_GB2312"/>
          <w:sz w:val="32"/>
          <w:szCs w:val="32"/>
        </w:rPr>
        <w:t>（三）《声环境质量标准》（GB 3096-2008）；</w:t>
      </w:r>
    </w:p>
    <w:p>
      <w:pPr>
        <w:pStyle w:val="9"/>
        <w:spacing w:line="560" w:lineRule="exact"/>
        <w:ind w:firstLine="640"/>
        <w:rPr>
          <w:rFonts w:ascii="仿宋_GB2312" w:hAnsi="黑体" w:eastAsia="仿宋_GB2312"/>
          <w:sz w:val="32"/>
          <w:szCs w:val="32"/>
        </w:rPr>
      </w:pPr>
      <w:r>
        <w:rPr>
          <w:rFonts w:hint="eastAsia" w:ascii="仿宋_GB2312" w:hAnsi="黑体" w:eastAsia="仿宋_GB2312"/>
          <w:sz w:val="32"/>
          <w:szCs w:val="32"/>
        </w:rPr>
        <w:t>（四）《声环境功能区划分技术规范》（GB/T 15190-2014）；</w:t>
      </w:r>
    </w:p>
    <w:p>
      <w:pPr>
        <w:pStyle w:val="9"/>
        <w:spacing w:line="560" w:lineRule="exact"/>
        <w:ind w:firstLine="640"/>
        <w:rPr>
          <w:rFonts w:ascii="仿宋_GB2312" w:hAnsi="黑体" w:eastAsia="仿宋_GB2312"/>
          <w:sz w:val="32"/>
          <w:szCs w:val="32"/>
        </w:rPr>
      </w:pPr>
      <w:r>
        <w:rPr>
          <w:rFonts w:hint="eastAsia" w:ascii="仿宋_GB2312" w:hAnsi="黑体" w:eastAsia="仿宋_GB2312"/>
          <w:sz w:val="32"/>
          <w:szCs w:val="32"/>
        </w:rPr>
        <w:t>（五）《铁路边界噪声限值及其测量方法》（GB 12525-90）；</w:t>
      </w:r>
    </w:p>
    <w:p>
      <w:pPr>
        <w:pStyle w:val="9"/>
        <w:spacing w:line="560" w:lineRule="exact"/>
        <w:ind w:firstLine="640"/>
        <w:rPr>
          <w:rFonts w:ascii="仿宋_GB2312" w:hAnsi="黑体" w:eastAsia="仿宋_GB2312"/>
          <w:sz w:val="32"/>
          <w:szCs w:val="32"/>
        </w:rPr>
      </w:pPr>
      <w:r>
        <w:rPr>
          <w:rFonts w:hint="eastAsia" w:ascii="仿宋_GB2312" w:hAnsi="黑体" w:eastAsia="仿宋_GB2312"/>
          <w:sz w:val="32"/>
          <w:szCs w:val="32"/>
        </w:rPr>
        <w:t>（六）《城市用地分类与规划建设用地标准》（GB 50137-2011）；</w:t>
      </w:r>
    </w:p>
    <w:p>
      <w:pPr>
        <w:pStyle w:val="9"/>
        <w:spacing w:line="560" w:lineRule="exact"/>
        <w:ind w:firstLine="640"/>
        <w:rPr>
          <w:rFonts w:ascii="仿宋_GB2312" w:hAnsi="黑体" w:eastAsia="仿宋_GB2312"/>
          <w:sz w:val="32"/>
          <w:szCs w:val="32"/>
        </w:rPr>
      </w:pPr>
      <w:r>
        <w:rPr>
          <w:rFonts w:hint="eastAsia" w:ascii="仿宋_GB2312" w:hAnsi="黑体" w:eastAsia="仿宋_GB2312"/>
          <w:sz w:val="32"/>
          <w:szCs w:val="32"/>
        </w:rPr>
        <w:t>（七）《土地利用现状分类》（GB/T 21010-2017）；</w:t>
      </w:r>
    </w:p>
    <w:p>
      <w:pPr>
        <w:pStyle w:val="9"/>
        <w:spacing w:line="560" w:lineRule="exact"/>
        <w:ind w:firstLine="640"/>
        <w:rPr>
          <w:rFonts w:ascii="仿宋_GB2312" w:hAnsi="黑体" w:eastAsia="仿宋_GB2312"/>
          <w:sz w:val="32"/>
          <w:szCs w:val="32"/>
        </w:rPr>
      </w:pPr>
      <w:r>
        <w:rPr>
          <w:rFonts w:hint="eastAsia" w:ascii="仿宋_GB2312" w:hAnsi="黑体" w:eastAsia="仿宋_GB2312"/>
          <w:sz w:val="32"/>
          <w:szCs w:val="32"/>
        </w:rPr>
        <w:t>（八）《环境专题空间数据加工处理技术规范》（HJ 927-2017）；</w:t>
      </w:r>
    </w:p>
    <w:p>
      <w:pPr>
        <w:pStyle w:val="9"/>
        <w:spacing w:line="560" w:lineRule="exact"/>
        <w:ind w:firstLine="640"/>
        <w:rPr>
          <w:rFonts w:ascii="仿宋_GB2312" w:hAnsi="黑体" w:eastAsia="仿宋_GB2312"/>
          <w:sz w:val="32"/>
          <w:szCs w:val="32"/>
        </w:rPr>
      </w:pPr>
      <w:r>
        <w:rPr>
          <w:rFonts w:hint="eastAsia" w:ascii="仿宋_GB2312" w:hAnsi="黑体" w:eastAsia="仿宋_GB2312"/>
          <w:sz w:val="32"/>
          <w:szCs w:val="32"/>
        </w:rPr>
        <w:t>（九）《柳州市城市总体规划》（2010-2020年）；</w:t>
      </w:r>
    </w:p>
    <w:p>
      <w:pPr>
        <w:autoSpaceDE w:val="0"/>
        <w:autoSpaceDN w:val="0"/>
        <w:snapToGrid w:val="0"/>
        <w:spacing w:line="560" w:lineRule="exact"/>
        <w:ind w:firstLine="640" w:firstLineChars="200"/>
        <w:rPr>
          <w:rFonts w:ascii="仿宋_GB2312" w:hAnsi="Times New Roman" w:eastAsia="仿宋_GB2312"/>
          <w:color w:val="000000"/>
          <w:sz w:val="32"/>
          <w:szCs w:val="32"/>
        </w:rPr>
      </w:pPr>
      <w:bookmarkStart w:id="2" w:name="_Toc142870622"/>
      <w:r>
        <w:rPr>
          <w:rFonts w:hint="eastAsia" w:ascii="仿宋_GB2312" w:hAnsi="Times New Roman" w:eastAsia="仿宋_GB2312"/>
          <w:color w:val="000000"/>
          <w:sz w:val="32"/>
          <w:szCs w:val="32"/>
        </w:rPr>
        <w:t>（十）《柳州市国土空间总体规划（2</w:t>
      </w:r>
      <w:r>
        <w:rPr>
          <w:rFonts w:ascii="仿宋_GB2312" w:hAnsi="Times New Roman" w:eastAsia="仿宋_GB2312"/>
          <w:color w:val="000000"/>
          <w:sz w:val="32"/>
          <w:szCs w:val="32"/>
        </w:rPr>
        <w:t>021-2035</w:t>
      </w:r>
      <w:r>
        <w:rPr>
          <w:rFonts w:hint="eastAsia" w:ascii="仿宋_GB2312" w:hAnsi="Times New Roman" w:eastAsia="仿宋_GB2312"/>
          <w:color w:val="000000"/>
          <w:sz w:val="32"/>
          <w:szCs w:val="32"/>
        </w:rPr>
        <w:t>年）》（过程稿）；</w:t>
      </w:r>
    </w:p>
    <w:p>
      <w:pPr>
        <w:autoSpaceDE w:val="0"/>
        <w:autoSpaceDN w:val="0"/>
        <w:snapToGrid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（十一）《广西柳州汽车城总体规划（2010-2030）》；</w:t>
      </w:r>
    </w:p>
    <w:p>
      <w:pPr>
        <w:autoSpaceDE w:val="0"/>
        <w:autoSpaceDN w:val="0"/>
        <w:snapToGrid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（十二）《柳江县城总体规划（2010-2030）》；</w:t>
      </w:r>
    </w:p>
    <w:p>
      <w:pPr>
        <w:autoSpaceDE w:val="0"/>
        <w:autoSpaceDN w:val="0"/>
        <w:snapToGrid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（十三）柳州市工业园区规划有关资料。</w:t>
      </w:r>
    </w:p>
    <w:p>
      <w:pPr>
        <w:pStyle w:val="9"/>
        <w:numPr>
          <w:ilvl w:val="0"/>
          <w:numId w:val="3"/>
        </w:numPr>
        <w:spacing w:line="560" w:lineRule="exact"/>
        <w:ind w:firstLineChars="0"/>
        <w:outlineLvl w:val="0"/>
        <w:rPr>
          <w:rFonts w:ascii="黑体" w:hAnsi="黑体" w:eastAsia="黑体"/>
          <w:sz w:val="32"/>
          <w:szCs w:val="32"/>
        </w:rPr>
      </w:pPr>
      <w:r>
        <w:rPr>
          <w:rFonts w:hint="eastAsia" w:ascii="黑体" w:hAnsi="黑体" w:eastAsia="黑体"/>
          <w:sz w:val="32"/>
          <w:szCs w:val="32"/>
        </w:rPr>
        <w:t>编制过程</w:t>
      </w:r>
      <w:bookmarkEnd w:id="2"/>
    </w:p>
    <w:p>
      <w:pPr>
        <w:pStyle w:val="9"/>
        <w:spacing w:line="560" w:lineRule="exact"/>
        <w:ind w:firstLine="640"/>
        <w:rPr>
          <w:rFonts w:ascii="仿宋_GB2312" w:hAnsi="黑体" w:eastAsia="仿宋_GB2312"/>
          <w:sz w:val="32"/>
          <w:szCs w:val="32"/>
        </w:rPr>
      </w:pPr>
      <w:r>
        <w:rPr>
          <w:rFonts w:hint="eastAsia" w:ascii="仿宋_GB2312" w:hAnsi="黑体" w:eastAsia="仿宋_GB2312"/>
          <w:sz w:val="32"/>
          <w:szCs w:val="32"/>
        </w:rPr>
        <w:t>本次区划方案编制主要通过收集区划工作中所需规划资料、声环境质量现状监测数据、群众投诉资料和相关的技术资料等，对柳州市城市声环境质量现状进行评价，根据《声环境功能区划分技术规范》（GB/T15190-2014）整理分析</w:t>
      </w:r>
      <w:r>
        <w:rPr>
          <w:rFonts w:hint="eastAsia" w:ascii="仿宋_GB2312" w:hAnsi="黑体" w:eastAsia="仿宋_GB2312"/>
          <w:sz w:val="32"/>
          <w:szCs w:val="32"/>
          <w:lang w:eastAsia="zh-CN"/>
        </w:rPr>
        <w:t>柳州</w:t>
      </w:r>
      <w:r>
        <w:rPr>
          <w:rFonts w:hint="eastAsia" w:ascii="仿宋_GB2312" w:hAnsi="黑体" w:eastAsia="仿宋_GB2312"/>
          <w:sz w:val="32"/>
          <w:szCs w:val="32"/>
        </w:rPr>
        <w:t>市市区现行功能区划方案、各区规划和土地利用现状，未发生变化区域维持原功能区划，对前期声环境功</w:t>
      </w:r>
      <w:bookmarkStart w:id="5" w:name="_GoBack"/>
      <w:bookmarkEnd w:id="5"/>
      <w:r>
        <w:rPr>
          <w:rFonts w:hint="eastAsia" w:ascii="仿宋_GB2312" w:hAnsi="黑体" w:eastAsia="仿宋_GB2312"/>
          <w:sz w:val="32"/>
          <w:szCs w:val="32"/>
        </w:rPr>
        <w:t>能区划评估发现的问题，结合规划用地类型或土地利用现状发生变化的区域进行功能区划调整。</w:t>
      </w:r>
    </w:p>
    <w:p>
      <w:pPr>
        <w:pStyle w:val="9"/>
        <w:numPr>
          <w:ilvl w:val="0"/>
          <w:numId w:val="4"/>
        </w:numPr>
        <w:spacing w:line="560" w:lineRule="exact"/>
        <w:ind w:firstLineChars="0"/>
        <w:outlineLvl w:val="0"/>
        <w:rPr>
          <w:rFonts w:ascii="黑体" w:hAnsi="黑体" w:eastAsia="黑体"/>
          <w:sz w:val="32"/>
          <w:szCs w:val="32"/>
        </w:rPr>
      </w:pPr>
      <w:bookmarkStart w:id="3" w:name="_Toc142870623"/>
      <w:r>
        <w:rPr>
          <w:rFonts w:hint="eastAsia" w:ascii="黑体" w:hAnsi="黑体" w:eastAsia="黑体"/>
          <w:sz w:val="32"/>
          <w:szCs w:val="32"/>
        </w:rPr>
        <w:t>区划概况</w:t>
      </w:r>
      <w:bookmarkEnd w:id="3"/>
    </w:p>
    <w:p>
      <w:pPr>
        <w:pStyle w:val="9"/>
        <w:spacing w:line="560" w:lineRule="exact"/>
        <w:ind w:firstLine="640"/>
        <w:rPr>
          <w:rFonts w:hint="eastAsia" w:ascii="仿宋_GB2312" w:hAnsi="黑体" w:eastAsia="仿宋_GB2312"/>
          <w:sz w:val="32"/>
          <w:szCs w:val="32"/>
        </w:rPr>
      </w:pPr>
      <w:r>
        <w:rPr>
          <w:rFonts w:hint="eastAsia" w:ascii="仿宋_GB2312" w:hAnsi="黑体" w:eastAsia="仿宋_GB2312"/>
          <w:sz w:val="32"/>
          <w:szCs w:val="32"/>
        </w:rPr>
        <w:t>本次区划范围在《柳州市国土空间总体规划（2</w:t>
      </w:r>
      <w:r>
        <w:rPr>
          <w:rFonts w:ascii="仿宋_GB2312" w:hAnsi="黑体" w:eastAsia="仿宋_GB2312"/>
          <w:sz w:val="32"/>
          <w:szCs w:val="32"/>
        </w:rPr>
        <w:t>021-2035</w:t>
      </w:r>
      <w:r>
        <w:rPr>
          <w:rFonts w:hint="eastAsia" w:ascii="仿宋_GB2312" w:hAnsi="黑体" w:eastAsia="仿宋_GB2312"/>
          <w:sz w:val="32"/>
          <w:szCs w:val="32"/>
        </w:rPr>
        <w:t>年）》（过程稿）中的中心城区覆盖范围基础上，增加了柳南区太阳村镇、柳江区进德镇的全部行政管辖范围，与现行区划方案相比增加了柳江区穿山镇的新兴片区。包括柳州市柳南区、柳北区、城中区、柳东新区、鱼峰区（除里雍镇和白沙镇以外区域）、柳江区的拉堡镇、进德镇行政管辖范围和穿山镇新兴片区，总面积</w:t>
      </w:r>
      <w:r>
        <w:rPr>
          <w:rFonts w:ascii="仿宋_GB2312" w:hAnsi="黑体" w:eastAsia="仿宋_GB2312"/>
          <w:sz w:val="32"/>
          <w:szCs w:val="32"/>
        </w:rPr>
        <w:t>1281.96</w:t>
      </w:r>
      <w:r>
        <w:rPr>
          <w:rFonts w:hint="eastAsia" w:ascii="仿宋_GB2312" w:hAnsi="黑体" w:eastAsia="仿宋_GB2312"/>
          <w:sz w:val="32"/>
          <w:szCs w:val="32"/>
        </w:rPr>
        <w:t>km</w:t>
      </w:r>
      <w:r>
        <w:rPr>
          <w:rFonts w:ascii="仿宋_GB2312" w:hAnsi="黑体" w:eastAsia="仿宋_GB2312"/>
          <w:sz w:val="32"/>
          <w:szCs w:val="32"/>
          <w:vertAlign w:val="superscript"/>
        </w:rPr>
        <w:t>2</w:t>
      </w:r>
      <w:r>
        <w:rPr>
          <w:rFonts w:hint="eastAsia" w:ascii="仿宋_GB2312" w:hAnsi="黑体" w:eastAsia="仿宋_GB2312"/>
          <w:sz w:val="32"/>
          <w:szCs w:val="32"/>
        </w:rPr>
        <w:t>。其中1类声环境功能区划分为7个区划单元，面积</w:t>
      </w:r>
      <w:r>
        <w:rPr>
          <w:rFonts w:ascii="仿宋_GB2312" w:hAnsi="黑体" w:eastAsia="仿宋_GB2312"/>
          <w:sz w:val="32"/>
          <w:szCs w:val="32"/>
        </w:rPr>
        <w:t>65.56</w:t>
      </w:r>
      <w:r>
        <w:rPr>
          <w:rFonts w:hint="eastAsia" w:ascii="仿宋_GB2312" w:hAnsi="黑体" w:eastAsia="仿宋_GB2312"/>
          <w:sz w:val="32"/>
          <w:szCs w:val="32"/>
        </w:rPr>
        <w:t>km</w:t>
      </w:r>
      <w:r>
        <w:rPr>
          <w:rFonts w:hint="eastAsia" w:ascii="仿宋_GB2312" w:hAnsi="黑体" w:eastAsia="仿宋_GB2312"/>
          <w:sz w:val="32"/>
          <w:szCs w:val="32"/>
          <w:vertAlign w:val="superscript"/>
        </w:rPr>
        <w:t>2</w:t>
      </w:r>
      <w:r>
        <w:rPr>
          <w:rFonts w:hint="eastAsia" w:ascii="仿宋_GB2312" w:hAnsi="黑体" w:eastAsia="仿宋_GB2312"/>
          <w:sz w:val="32"/>
          <w:szCs w:val="32"/>
        </w:rPr>
        <w:t>，3类声环境功能区划分为2</w:t>
      </w:r>
      <w:r>
        <w:rPr>
          <w:rFonts w:ascii="仿宋_GB2312" w:hAnsi="黑体" w:eastAsia="仿宋_GB2312"/>
          <w:sz w:val="32"/>
          <w:szCs w:val="32"/>
        </w:rPr>
        <w:t>0</w:t>
      </w:r>
      <w:r>
        <w:rPr>
          <w:rFonts w:hint="eastAsia" w:ascii="仿宋_GB2312" w:hAnsi="黑体" w:eastAsia="仿宋_GB2312"/>
          <w:sz w:val="32"/>
          <w:szCs w:val="32"/>
        </w:rPr>
        <w:t>个区划单元，面积</w:t>
      </w:r>
      <w:r>
        <w:rPr>
          <w:rFonts w:ascii="仿宋_GB2312" w:hAnsi="黑体" w:eastAsia="仿宋_GB2312"/>
          <w:sz w:val="32"/>
          <w:szCs w:val="32"/>
        </w:rPr>
        <w:t>161.59</w:t>
      </w:r>
      <w:r>
        <w:rPr>
          <w:rFonts w:hint="eastAsia" w:ascii="仿宋_GB2312" w:hAnsi="黑体" w:eastAsia="仿宋_GB2312"/>
          <w:sz w:val="32"/>
          <w:szCs w:val="32"/>
        </w:rPr>
        <w:t>km</w:t>
      </w:r>
      <w:r>
        <w:rPr>
          <w:rFonts w:hint="eastAsia" w:ascii="仿宋_GB2312" w:hAnsi="黑体" w:eastAsia="仿宋_GB2312"/>
          <w:sz w:val="32"/>
          <w:szCs w:val="32"/>
          <w:vertAlign w:val="superscript"/>
        </w:rPr>
        <w:t>2</w:t>
      </w:r>
      <w:r>
        <w:rPr>
          <w:rFonts w:hint="eastAsia" w:ascii="仿宋_GB2312" w:hAnsi="黑体" w:eastAsia="仿宋_GB2312"/>
          <w:sz w:val="32"/>
          <w:szCs w:val="32"/>
        </w:rPr>
        <w:t>，2类声环境功能区主要为除1、3、4类声环境功能区以外的区域，面积</w:t>
      </w:r>
      <w:r>
        <w:rPr>
          <w:rFonts w:ascii="仿宋_GB2312" w:hAnsi="黑体" w:eastAsia="仿宋_GB2312"/>
          <w:sz w:val="32"/>
          <w:szCs w:val="32"/>
        </w:rPr>
        <w:t>1054.81</w:t>
      </w:r>
      <w:r>
        <w:rPr>
          <w:rFonts w:hint="eastAsia" w:ascii="仿宋_GB2312" w:hAnsi="黑体" w:eastAsia="仿宋_GB2312"/>
          <w:sz w:val="32"/>
          <w:szCs w:val="32"/>
        </w:rPr>
        <w:t>km</w:t>
      </w:r>
      <w:r>
        <w:rPr>
          <w:rFonts w:hint="eastAsia" w:ascii="仿宋_GB2312" w:hAnsi="黑体" w:eastAsia="仿宋_GB2312"/>
          <w:sz w:val="32"/>
          <w:szCs w:val="32"/>
          <w:vertAlign w:val="superscript"/>
        </w:rPr>
        <w:t>2</w:t>
      </w:r>
      <w:r>
        <w:rPr>
          <w:rFonts w:hint="eastAsia" w:ascii="仿宋_GB2312" w:hAnsi="黑体" w:eastAsia="仿宋_GB2312"/>
          <w:sz w:val="32"/>
          <w:szCs w:val="32"/>
        </w:rPr>
        <w:t>。4类声环境功能区主要将区划范围内</w:t>
      </w:r>
      <w:r>
        <w:rPr>
          <w:rFonts w:hint="eastAsia" w:ascii="仿宋_GB2312" w:hAnsi="Times New Roman" w:eastAsia="仿宋_GB2312"/>
          <w:color w:val="000000"/>
          <w:kern w:val="0"/>
          <w:sz w:val="32"/>
          <w:szCs w:val="20"/>
        </w:rPr>
        <w:t>的高速公路、一级公路、二级公路、城市快速路、城市主干路、城市次干路、特定路段、城市轨道交通（地面段）、城际轨道交通（地面段）、内河航道两侧区域等划分为4a类，铁路干线两侧区域划分为4b类。</w:t>
      </w:r>
    </w:p>
    <w:p>
      <w:pPr>
        <w:pStyle w:val="9"/>
        <w:numPr>
          <w:ilvl w:val="0"/>
          <w:numId w:val="5"/>
        </w:numPr>
        <w:spacing w:line="560" w:lineRule="exact"/>
        <w:ind w:firstLineChars="0"/>
        <w:outlineLvl w:val="0"/>
        <w:rPr>
          <w:rFonts w:ascii="黑体" w:hAnsi="黑体" w:eastAsia="黑体"/>
          <w:sz w:val="32"/>
          <w:szCs w:val="32"/>
        </w:rPr>
      </w:pPr>
      <w:bookmarkStart w:id="4" w:name="_Toc142870624"/>
      <w:r>
        <w:rPr>
          <w:rFonts w:hint="eastAsia" w:ascii="黑体" w:hAnsi="黑体" w:eastAsia="黑体"/>
          <w:sz w:val="32"/>
          <w:szCs w:val="32"/>
        </w:rPr>
        <w:t>区划技术说明</w:t>
      </w:r>
      <w:bookmarkEnd w:id="4"/>
    </w:p>
    <w:p>
      <w:pPr>
        <w:pStyle w:val="9"/>
        <w:spacing w:line="560" w:lineRule="exact"/>
        <w:ind w:firstLine="640"/>
        <w:rPr>
          <w:rFonts w:ascii="仿宋_GB2312" w:hAnsi="黑体" w:eastAsia="仿宋_GB2312"/>
          <w:sz w:val="32"/>
          <w:szCs w:val="32"/>
        </w:rPr>
      </w:pPr>
      <w:r>
        <w:rPr>
          <w:rFonts w:ascii="仿宋_GB2312" w:hAnsi="黑体" w:eastAsia="仿宋_GB2312"/>
          <w:sz w:val="32"/>
          <w:szCs w:val="32"/>
        </w:rPr>
        <w:t>本次声环境功能区划定以中心城区国土空间总体规划为指导，重点</w:t>
      </w:r>
      <w:r>
        <w:rPr>
          <w:rFonts w:hint="eastAsia" w:ascii="仿宋_GB2312" w:hAnsi="黑体" w:eastAsia="仿宋_GB2312"/>
          <w:sz w:val="32"/>
          <w:szCs w:val="32"/>
        </w:rPr>
        <w:t>结合工业园区控制性详细规划</w:t>
      </w:r>
      <w:r>
        <w:rPr>
          <w:rFonts w:ascii="仿宋_GB2312" w:hAnsi="黑体" w:eastAsia="仿宋_GB2312"/>
          <w:sz w:val="32"/>
          <w:szCs w:val="32"/>
        </w:rPr>
        <w:t>区域规划</w:t>
      </w:r>
      <w:r>
        <w:rPr>
          <w:rFonts w:hint="eastAsia" w:ascii="仿宋_GB2312" w:hAnsi="黑体" w:eastAsia="仿宋_GB2312"/>
          <w:sz w:val="32"/>
          <w:szCs w:val="32"/>
        </w:rPr>
        <w:t>以及</w:t>
      </w:r>
      <w:r>
        <w:rPr>
          <w:rFonts w:ascii="仿宋_GB2312" w:hAnsi="黑体" w:eastAsia="仿宋_GB2312"/>
          <w:sz w:val="32"/>
          <w:szCs w:val="32"/>
        </w:rPr>
        <w:t>用地的主导功能和用地现状，按照规划用地性质、用地现状、声环境质量现状和现</w:t>
      </w:r>
      <w:r>
        <w:rPr>
          <w:rFonts w:hint="eastAsia" w:ascii="仿宋_GB2312" w:hAnsi="黑体" w:eastAsia="仿宋_GB2312"/>
          <w:sz w:val="32"/>
          <w:szCs w:val="32"/>
        </w:rPr>
        <w:t>行</w:t>
      </w:r>
      <w:r>
        <w:rPr>
          <w:rFonts w:ascii="仿宋_GB2312" w:hAnsi="黑体" w:eastAsia="仿宋_GB2312"/>
          <w:sz w:val="32"/>
          <w:szCs w:val="32"/>
        </w:rPr>
        <w:t>声环境功能区，</w:t>
      </w:r>
      <w:r>
        <w:rPr>
          <w:rFonts w:hint="eastAsia" w:ascii="仿宋_GB2312" w:hAnsi="黑体" w:eastAsia="仿宋_GB2312"/>
          <w:sz w:val="32"/>
          <w:szCs w:val="32"/>
        </w:rPr>
        <w:t>科学划定城市区域声环境功能区划。由于《柳州市国土空间总体规划（2</w:t>
      </w:r>
      <w:r>
        <w:rPr>
          <w:rFonts w:ascii="仿宋_GB2312" w:hAnsi="黑体" w:eastAsia="仿宋_GB2312"/>
          <w:sz w:val="32"/>
          <w:szCs w:val="32"/>
        </w:rPr>
        <w:t>021-2035</w:t>
      </w:r>
      <w:r>
        <w:rPr>
          <w:rFonts w:hint="eastAsia" w:ascii="仿宋_GB2312" w:hAnsi="黑体" w:eastAsia="仿宋_GB2312"/>
          <w:sz w:val="32"/>
          <w:szCs w:val="32"/>
        </w:rPr>
        <w:t>年）》未正式发布，此次调整仅在部分用地规划方面加以参考利用。调整内容具体如下：</w:t>
      </w:r>
    </w:p>
    <w:p>
      <w:pPr>
        <w:pStyle w:val="9"/>
        <w:spacing w:line="560" w:lineRule="exact"/>
        <w:ind w:firstLine="643"/>
        <w:rPr>
          <w:rFonts w:ascii="仿宋_GB2312" w:eastAsia="仿宋_GB2312"/>
          <w:sz w:val="32"/>
          <w:szCs w:val="36"/>
        </w:rPr>
      </w:pPr>
      <w:r>
        <w:rPr>
          <w:rFonts w:hint="eastAsia" w:ascii="仿宋_GB2312" w:hAnsi="黑体" w:eastAsia="仿宋_GB2312"/>
          <w:b/>
          <w:bCs/>
          <w:sz w:val="32"/>
          <w:szCs w:val="32"/>
        </w:rPr>
        <w:t>一是对声环境评估过程存在的问题进行修订完善。</w:t>
      </w:r>
      <w:r>
        <w:rPr>
          <w:rFonts w:hint="eastAsia" w:ascii="仿宋_GB2312" w:eastAsia="仿宋_GB2312"/>
          <w:sz w:val="32"/>
          <w:szCs w:val="36"/>
        </w:rPr>
        <w:t>依据土地利用现状、工业园区规划文件等相关资料，对部分3类声环境功能区划单元的边界作出进一步明确；强调了4类声环境功能区中的交通干线边界；说明了铁路与其它道路并存的交通干线以及铁路等4b类声环境功能区与其它交通干线的4a类声环境功能区有重叠的部分，划分为4b类声环境功能区。</w:t>
      </w:r>
    </w:p>
    <w:p>
      <w:pPr>
        <w:pStyle w:val="9"/>
        <w:spacing w:line="560" w:lineRule="exact"/>
        <w:ind w:firstLine="643"/>
        <w:rPr>
          <w:rFonts w:ascii="仿宋_GB2312" w:eastAsia="仿宋_GB2312"/>
          <w:sz w:val="32"/>
          <w:szCs w:val="36"/>
        </w:rPr>
      </w:pPr>
      <w:r>
        <w:rPr>
          <w:rFonts w:hint="eastAsia" w:ascii="仿宋_GB2312" w:eastAsia="仿宋_GB2312"/>
          <w:b/>
          <w:bCs/>
          <w:sz w:val="32"/>
          <w:szCs w:val="36"/>
        </w:rPr>
        <w:t>二是对声环境功能区划范围进行更新。</w:t>
      </w:r>
      <w:r>
        <w:rPr>
          <w:rFonts w:hint="eastAsia" w:ascii="仿宋_GB2312" w:eastAsia="仿宋_GB2312"/>
          <w:sz w:val="32"/>
          <w:szCs w:val="36"/>
        </w:rPr>
        <w:t>本次区划范围基于</w:t>
      </w:r>
      <w:r>
        <w:rPr>
          <w:rFonts w:hint="eastAsia" w:ascii="仿宋_GB2312" w:hAnsi="黑体" w:eastAsia="仿宋_GB2312"/>
          <w:sz w:val="32"/>
          <w:szCs w:val="32"/>
        </w:rPr>
        <w:t>《柳州市国土空间总体规划（2</w:t>
      </w:r>
      <w:r>
        <w:rPr>
          <w:rFonts w:ascii="仿宋_GB2312" w:hAnsi="黑体" w:eastAsia="仿宋_GB2312"/>
          <w:sz w:val="32"/>
          <w:szCs w:val="32"/>
        </w:rPr>
        <w:t>021-2035</w:t>
      </w:r>
      <w:r>
        <w:rPr>
          <w:rFonts w:hint="eastAsia" w:ascii="仿宋_GB2312" w:hAnsi="黑体" w:eastAsia="仿宋_GB2312"/>
          <w:sz w:val="32"/>
          <w:szCs w:val="32"/>
        </w:rPr>
        <w:t>年）》（过程稿）中的中心城区覆盖范围，结合行政区划和现行声环境功能区划范围，在现行区划的覆盖范围基础上增加了柳江区穿山镇的新兴片区。</w:t>
      </w:r>
    </w:p>
    <w:p>
      <w:pPr>
        <w:pStyle w:val="9"/>
        <w:spacing w:line="560" w:lineRule="exact"/>
        <w:ind w:firstLine="643"/>
        <w:rPr>
          <w:rFonts w:ascii="仿宋_GB2312" w:eastAsia="仿宋_GB2312"/>
          <w:sz w:val="32"/>
          <w:szCs w:val="36"/>
        </w:rPr>
      </w:pPr>
      <w:r>
        <w:rPr>
          <w:rFonts w:hint="eastAsia" w:ascii="仿宋_GB2312" w:eastAsia="仿宋_GB2312"/>
          <w:b/>
          <w:bCs/>
          <w:sz w:val="32"/>
          <w:szCs w:val="36"/>
        </w:rPr>
        <w:t>三是对部分声环境功能区进行了修订更新。</w:t>
      </w:r>
      <w:r>
        <w:rPr>
          <w:rFonts w:hint="eastAsia" w:ascii="仿宋_GB2312" w:eastAsia="仿宋_GB2312"/>
          <w:sz w:val="32"/>
          <w:szCs w:val="36"/>
        </w:rPr>
        <w:t>主要依据最新工业园区相关控制性详细规划文件和土地利用现状、城市区域内交通道路分布现状、柳州市综合交通“十四五”规划等相关资料，并参考总体规划文件，对部分2类、3类和4类声环境功能区进行了重新划分和调整。</w:t>
      </w:r>
    </w:p>
    <w:p>
      <w:pPr>
        <w:pStyle w:val="9"/>
        <w:spacing w:line="560" w:lineRule="exact"/>
        <w:ind w:firstLine="643"/>
        <w:rPr>
          <w:rFonts w:ascii="仿宋_GB2312" w:hAnsi="黑体" w:eastAsia="仿宋_GB2312"/>
          <w:sz w:val="32"/>
          <w:szCs w:val="32"/>
        </w:rPr>
      </w:pPr>
      <w:r>
        <w:rPr>
          <w:rFonts w:hint="eastAsia" w:ascii="仿宋_GB2312" w:eastAsia="仿宋_GB2312"/>
          <w:b/>
          <w:bCs/>
          <w:sz w:val="32"/>
          <w:szCs w:val="36"/>
        </w:rPr>
        <w:t>四是增加了声环境功能区相关区划规定和说明。</w:t>
      </w:r>
      <w:r>
        <w:rPr>
          <w:rFonts w:hint="eastAsia" w:ascii="仿宋_GB2312" w:eastAsia="仿宋_GB2312"/>
          <w:sz w:val="32"/>
          <w:szCs w:val="36"/>
        </w:rPr>
        <w:t>编制过程中主要根据《声环境功能区划分技术规范(GB/T 15190-2014)》等技术文件并结合柳州市声环境管理现状，补充了3类和4类声环境功能区的相关规定。</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77103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A062D"/>
    <w:multiLevelType w:val="multilevel"/>
    <w:tmpl w:val="34FA062D"/>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0"/>
    <w:lvlOverride w:ilvl="0">
      <w:lvl w:ilvl="0" w:tentative="1">
        <w:start w:val="2"/>
        <w:numFmt w:val="chineseCountingThousand"/>
        <w:suff w:val="nothing"/>
        <w:lvlText w:val="%1、"/>
        <w:lvlJc w:val="left"/>
        <w:pPr>
          <w:ind w:left="0" w:firstLine="0"/>
        </w:pPr>
      </w:lvl>
    </w:lvlOverride>
  </w:num>
  <w:num w:numId="3">
    <w:abstractNumId w:val="0"/>
    <w:lvlOverride w:ilvl="0">
      <w:lvl w:ilvl="0" w:tentative="1">
        <w:start w:val="3"/>
        <w:numFmt w:val="chineseCountingThousand"/>
        <w:suff w:val="nothing"/>
        <w:lvlText w:val="%1、"/>
        <w:lvlJc w:val="left"/>
        <w:pPr>
          <w:ind w:left="0" w:firstLine="0"/>
        </w:pPr>
      </w:lvl>
    </w:lvlOverride>
  </w:num>
  <w:num w:numId="4">
    <w:abstractNumId w:val="0"/>
    <w:lvlOverride w:ilvl="0">
      <w:lvl w:ilvl="0" w:tentative="1">
        <w:start w:val="4"/>
        <w:numFmt w:val="chineseCountingThousand"/>
        <w:suff w:val="nothing"/>
        <w:lvlText w:val="%1、"/>
        <w:lvlJc w:val="left"/>
        <w:pPr>
          <w:ind w:left="0" w:firstLine="0"/>
        </w:pPr>
      </w:lvl>
    </w:lvlOverride>
  </w:num>
  <w:num w:numId="5">
    <w:abstractNumId w:val="0"/>
    <w:lvlOverride w:ilvl="0">
      <w:lvl w:ilvl="0" w:tentative="1">
        <w:start w:val="4"/>
        <w:numFmt w:val="chineseCountingThousand"/>
        <w:suff w:val="nothing"/>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8D"/>
    <w:rsid w:val="00074E76"/>
    <w:rsid w:val="001129EE"/>
    <w:rsid w:val="00173A2F"/>
    <w:rsid w:val="001D747F"/>
    <w:rsid w:val="00257DFC"/>
    <w:rsid w:val="00263E82"/>
    <w:rsid w:val="002B7D4A"/>
    <w:rsid w:val="00353056"/>
    <w:rsid w:val="00485CBB"/>
    <w:rsid w:val="004E3E28"/>
    <w:rsid w:val="006B1CFF"/>
    <w:rsid w:val="00735852"/>
    <w:rsid w:val="007377BA"/>
    <w:rsid w:val="00741AF7"/>
    <w:rsid w:val="007931B4"/>
    <w:rsid w:val="007A2B8D"/>
    <w:rsid w:val="007E0139"/>
    <w:rsid w:val="00B07F52"/>
    <w:rsid w:val="00B4218D"/>
    <w:rsid w:val="00C56B9F"/>
    <w:rsid w:val="00C63C8F"/>
    <w:rsid w:val="00E341CA"/>
    <w:rsid w:val="00ED4591"/>
    <w:rsid w:val="00F04EA5"/>
    <w:rsid w:val="0A51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tabs>
        <w:tab w:val="center" w:pos="4153"/>
        <w:tab w:val="right" w:pos="8306"/>
      </w:tabs>
      <w:snapToGrid w:val="0"/>
      <w:jc w:val="center"/>
    </w:pPr>
    <w:rPr>
      <w:sz w:val="18"/>
      <w:szCs w:val="18"/>
    </w:rPr>
  </w:style>
  <w:style w:type="paragraph" w:styleId="5">
    <w:name w:val="toc 1"/>
    <w:basedOn w:val="1"/>
    <w:next w:val="1"/>
    <w:unhideWhenUsed/>
    <w:uiPriority w:val="39"/>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标题 1 字符"/>
    <w:basedOn w:val="7"/>
    <w:link w:val="2"/>
    <w:uiPriority w:val="9"/>
    <w:rPr>
      <w:rFonts w:ascii="Calibri" w:hAnsi="Calibri" w:eastAsia="宋体" w:cs="Times New Roman"/>
      <w:b/>
      <w:bCs/>
      <w:kern w:val="44"/>
      <w:sz w:val="44"/>
      <w:szCs w:val="44"/>
    </w:rPr>
  </w:style>
  <w:style w:type="paragraph" w:customStyle="1" w:styleId="1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2">
    <w:name w:val="页眉 字符"/>
    <w:basedOn w:val="7"/>
    <w:link w:val="4"/>
    <w:uiPriority w:val="99"/>
    <w:rPr>
      <w:rFonts w:ascii="Calibri" w:hAnsi="Calibri" w:eastAsia="宋体" w:cs="Times New Roman"/>
      <w:sz w:val="18"/>
      <w:szCs w:val="18"/>
    </w:rPr>
  </w:style>
  <w:style w:type="character" w:customStyle="1" w:styleId="13">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18DA6-61BC-4763-9A88-E255EC03B293}">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1301</Words>
  <Characters>1459</Characters>
  <Lines>81</Lines>
  <Paragraphs>46</Paragraphs>
  <TotalTime>25</TotalTime>
  <ScaleCrop>false</ScaleCrop>
  <LinksUpToDate>false</LinksUpToDate>
  <CharactersWithSpaces>2714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2023-08-13T18:17:00Z</dcterms:created>
  <dc:creator>朔 王</dc:creator>
  <cp:lastModifiedBy>weihc</cp:lastModifiedBy>
  <dcterms:modified xsi:type="dcterms:W3CDTF">2023-08-14T02:20:43Z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