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560" w:lineRule="atLeast"/>
        <w:rPr>
          <w:rFonts w:ascii="仿宋_GB2312" w:hAnsi="微软雅黑" w:eastAsia="仿宋_GB2312" w:cs="仿宋_GB2312"/>
          <w:color w:val="000000" w:themeColor="text1"/>
          <w:kern w:val="0"/>
          <w:sz w:val="32"/>
          <w:szCs w:val="32"/>
          <w:shd w:val="clear" w:color="auto" w:fill="FFFFFF"/>
          <w14:textFill>
            <w14:solidFill>
              <w14:schemeClr w14:val="tx1"/>
            </w14:solidFill>
          </w14:textFill>
        </w:rPr>
      </w:pPr>
      <w:bookmarkStart w:id="0" w:name="_Toc1592330170_WPSOffice_Level1"/>
      <w:bookmarkStart w:id="1" w:name="_Toc1975683060_WPSOffice_Level1"/>
      <w:bookmarkStart w:id="223" w:name="_GoBack"/>
      <w:r>
        <w:rPr>
          <w:rFonts w:ascii="仿宋_GB2312" w:hAnsi="微软雅黑" w:eastAsia="仿宋_GB2312" w:cs="仿宋_GB2312"/>
          <w:color w:val="000000" w:themeColor="text1"/>
          <w:kern w:val="0"/>
          <w:sz w:val="32"/>
          <w:szCs w:val="32"/>
          <w:shd w:val="clear" w:color="auto" w:fill="FFFFFF"/>
          <w14:textFill>
            <w14:solidFill>
              <w14:schemeClr w14:val="tx1"/>
            </w14:solidFill>
          </w14:textFill>
        </w:rPr>
        <w:t>  </w:t>
      </w:r>
      <w:bookmarkEnd w:id="0"/>
      <w:bookmarkEnd w:id="1"/>
    </w:p>
    <w:p>
      <w:pPr>
        <w:widowControl/>
        <w:shd w:val="clear" w:color="auto" w:fill="FFFFFF"/>
        <w:spacing w:line="23" w:lineRule="atLeast"/>
        <w:jc w:val="center"/>
        <w:rPr>
          <w:rFonts w:ascii="华文新魏" w:hAnsi="华文新魏" w:eastAsia="华文新魏" w:cs="华文新魏"/>
          <w:color w:val="000000" w:themeColor="text1"/>
          <w:kern w:val="0"/>
          <w:sz w:val="56"/>
          <w:szCs w:val="56"/>
          <w:shd w:val="clear" w:color="auto" w:fill="FFFFFF"/>
          <w14:textFill>
            <w14:solidFill>
              <w14:schemeClr w14:val="tx1"/>
            </w14:solidFill>
          </w14:textFill>
        </w:rPr>
      </w:pPr>
      <w:bookmarkStart w:id="2" w:name="_Toc714314285_WPSOffice_Level1"/>
      <w:r>
        <w:rPr>
          <w:rFonts w:hint="eastAsia" w:ascii="华文新魏" w:hAnsi="华文新魏" w:eastAsia="华文新魏" w:cs="华文新魏"/>
          <w:color w:val="000000" w:themeColor="text1"/>
          <w:kern w:val="0"/>
          <w:sz w:val="56"/>
          <w:szCs w:val="56"/>
          <w:shd w:val="clear" w:color="auto" w:fill="FFFFFF"/>
          <w14:textFill>
            <w14:solidFill>
              <w14:schemeClr w14:val="tx1"/>
            </w14:solidFill>
          </w14:textFill>
        </w:rPr>
        <w:t>宣城市</w:t>
      </w:r>
      <w:r>
        <w:rPr>
          <w:rFonts w:ascii="华文新魏" w:hAnsi="华文新魏" w:eastAsia="华文新魏" w:cs="华文新魏"/>
          <w:color w:val="000000" w:themeColor="text1"/>
          <w:kern w:val="0"/>
          <w:sz w:val="56"/>
          <w:szCs w:val="56"/>
          <w:shd w:val="clear" w:color="auto" w:fill="FFFFFF"/>
          <w14:textFill>
            <w14:solidFill>
              <w14:schemeClr w14:val="tx1"/>
            </w14:solidFill>
          </w14:textFill>
        </w:rPr>
        <w:t>辐射事故应急预案</w:t>
      </w:r>
      <w:bookmarkEnd w:id="2"/>
    </w:p>
    <w:p>
      <w:pPr>
        <w:widowControl/>
        <w:shd w:val="clear" w:color="auto" w:fill="FFFFFF"/>
        <w:spacing w:line="23" w:lineRule="atLeast"/>
        <w:jc w:val="center"/>
        <w:rPr>
          <w:rFonts w:ascii="华文新魏" w:hAnsi="华文新魏" w:eastAsia="华文新魏" w:cs="华文新魏"/>
          <w:color w:val="000000" w:themeColor="text1"/>
          <w:kern w:val="0"/>
          <w:sz w:val="56"/>
          <w:szCs w:val="56"/>
          <w:shd w:val="clear" w:color="auto" w:fill="FFFFFF"/>
          <w14:textFill>
            <w14:solidFill>
              <w14:schemeClr w14:val="tx1"/>
            </w14:solidFill>
          </w14:textFill>
        </w:rPr>
      </w:pPr>
      <w:bookmarkStart w:id="3" w:name="_Toc1251133805_WPSOffice_Level1"/>
      <w:bookmarkStart w:id="4" w:name="_Toc953881826_WPSOffice_Level1"/>
      <w:bookmarkStart w:id="5" w:name="_Toc159307438_WPSOffice_Level1"/>
      <w:r>
        <w:rPr>
          <w:rFonts w:hint="eastAsia" w:ascii="华文新魏" w:hAnsi="华文新魏" w:eastAsia="华文新魏" w:cs="华文新魏"/>
          <w:color w:val="000000" w:themeColor="text1"/>
          <w:kern w:val="0"/>
          <w:sz w:val="56"/>
          <w:szCs w:val="56"/>
          <w:shd w:val="clear" w:color="auto" w:fill="FFFFFF"/>
          <w14:textFill>
            <w14:solidFill>
              <w14:schemeClr w14:val="tx1"/>
            </w14:solidFill>
          </w14:textFill>
        </w:rPr>
        <w:t>（征求意见稿）</w:t>
      </w:r>
      <w:bookmarkEnd w:id="3"/>
      <w:bookmarkEnd w:id="4"/>
      <w:bookmarkEnd w:id="5"/>
    </w:p>
    <w:p>
      <w:pPr>
        <w:widowControl/>
        <w:shd w:val="clear" w:color="auto" w:fill="FFFFFF"/>
        <w:spacing w:line="23" w:lineRule="atLeast"/>
        <w:jc w:val="center"/>
        <w:rPr>
          <w:rFonts w:ascii="微软雅黑" w:hAnsi="微软雅黑" w:eastAsia="微软雅黑" w:cs="微软雅黑"/>
          <w:color w:val="000000" w:themeColor="text1"/>
          <w:sz w:val="24"/>
          <w14:textFill>
            <w14:solidFill>
              <w14:schemeClr w14:val="tx1"/>
            </w14:solidFill>
          </w14:textFill>
        </w:rPr>
      </w:pPr>
      <w:r>
        <w:rPr>
          <w:rFonts w:ascii="Times New Roman" w:hAnsi="Times New Roman" w:eastAsia="微软雅黑" w:cs="Times New Roman"/>
          <w:color w:val="000000" w:themeColor="text1"/>
          <w:kern w:val="0"/>
          <w:sz w:val="32"/>
          <w:szCs w:val="32"/>
          <w:shd w:val="clear" w:color="auto" w:fill="FFFFFF"/>
          <w14:textFill>
            <w14:solidFill>
              <w14:schemeClr w14:val="tx1"/>
            </w14:solidFill>
          </w14:textFill>
        </w:rPr>
        <w:t> </w:t>
      </w:r>
    </w:p>
    <w:p>
      <w:pPr>
        <w:widowControl/>
        <w:shd w:val="clear" w:color="auto" w:fill="FFFFFF"/>
        <w:spacing w:line="23" w:lineRule="atLeast"/>
        <w:jc w:val="center"/>
        <w:rPr>
          <w:rFonts w:ascii="Times New Roman" w:hAnsi="Times New Roman" w:eastAsia="微软雅黑" w:cs="Times New Roman"/>
          <w:color w:val="000000" w:themeColor="text1"/>
          <w:kern w:val="0"/>
          <w:sz w:val="56"/>
          <w:szCs w:val="56"/>
          <w:shd w:val="clear" w:color="auto" w:fill="FFFFFF"/>
          <w14:textFill>
            <w14:solidFill>
              <w14:schemeClr w14:val="tx1"/>
            </w14:solidFill>
          </w14:textFill>
        </w:rPr>
      </w:pPr>
    </w:p>
    <w:p>
      <w:pPr>
        <w:widowControl/>
        <w:shd w:val="clear" w:color="auto" w:fill="FFFFFF"/>
        <w:spacing w:line="23" w:lineRule="atLeast"/>
        <w:jc w:val="center"/>
        <w:rPr>
          <w:rFonts w:ascii="Times New Roman" w:hAnsi="Times New Roman" w:eastAsia="微软雅黑" w:cs="Times New Roman"/>
          <w:color w:val="000000" w:themeColor="text1"/>
          <w:kern w:val="0"/>
          <w:sz w:val="56"/>
          <w:szCs w:val="56"/>
          <w:shd w:val="clear" w:color="auto" w:fill="FFFFFF"/>
          <w14:textFill>
            <w14:solidFill>
              <w14:schemeClr w14:val="tx1"/>
            </w14:solidFill>
          </w14:textFill>
        </w:rPr>
      </w:pPr>
    </w:p>
    <w:p>
      <w:pPr>
        <w:widowControl/>
        <w:shd w:val="clear" w:color="auto" w:fill="FFFFFF"/>
        <w:spacing w:line="23" w:lineRule="atLeast"/>
        <w:jc w:val="center"/>
        <w:rPr>
          <w:rFonts w:ascii="Times New Roman" w:hAnsi="Times New Roman" w:eastAsia="微软雅黑" w:cs="Times New Roman"/>
          <w:color w:val="000000" w:themeColor="text1"/>
          <w:kern w:val="0"/>
          <w:sz w:val="56"/>
          <w:szCs w:val="56"/>
          <w:shd w:val="clear" w:color="auto" w:fill="FFFFFF"/>
          <w14:textFill>
            <w14:solidFill>
              <w14:schemeClr w14:val="tx1"/>
            </w14:solidFill>
          </w14:textFill>
        </w:rPr>
      </w:pPr>
    </w:p>
    <w:p>
      <w:pPr>
        <w:widowControl/>
        <w:shd w:val="clear" w:color="auto" w:fill="FFFFFF"/>
        <w:spacing w:line="23" w:lineRule="atLeast"/>
        <w:jc w:val="center"/>
        <w:rPr>
          <w:rFonts w:ascii="Times New Roman" w:hAnsi="Times New Roman" w:eastAsia="微软雅黑" w:cs="Times New Roman"/>
          <w:color w:val="000000" w:themeColor="text1"/>
          <w:kern w:val="0"/>
          <w:sz w:val="56"/>
          <w:szCs w:val="56"/>
          <w:shd w:val="clear" w:color="auto" w:fill="FFFFFF"/>
          <w14:textFill>
            <w14:solidFill>
              <w14:schemeClr w14:val="tx1"/>
            </w14:solidFill>
          </w14:textFill>
        </w:rPr>
      </w:pPr>
    </w:p>
    <w:p>
      <w:pPr>
        <w:widowControl/>
        <w:shd w:val="clear" w:color="auto" w:fill="FFFFFF"/>
        <w:spacing w:line="23" w:lineRule="atLeast"/>
        <w:jc w:val="center"/>
        <w:rPr>
          <w:rFonts w:ascii="Times New Roman" w:hAnsi="Times New Roman" w:eastAsia="微软雅黑" w:cs="Times New Roman"/>
          <w:color w:val="000000" w:themeColor="text1"/>
          <w:kern w:val="0"/>
          <w:sz w:val="56"/>
          <w:szCs w:val="56"/>
          <w:shd w:val="clear" w:color="auto" w:fill="FFFFFF"/>
          <w14:textFill>
            <w14:solidFill>
              <w14:schemeClr w14:val="tx1"/>
            </w14:solidFill>
          </w14:textFill>
        </w:rPr>
      </w:pPr>
    </w:p>
    <w:p>
      <w:pPr>
        <w:widowControl/>
        <w:shd w:val="clear" w:color="auto" w:fill="FFFFFF"/>
        <w:spacing w:line="23" w:lineRule="atLeast"/>
        <w:jc w:val="center"/>
        <w:rPr>
          <w:rFonts w:ascii="微软雅黑" w:hAnsi="微软雅黑" w:eastAsia="微软雅黑" w:cs="微软雅黑"/>
          <w:color w:val="000000" w:themeColor="text1"/>
          <w:sz w:val="24"/>
          <w14:textFill>
            <w14:solidFill>
              <w14:schemeClr w14:val="tx1"/>
            </w14:solidFill>
          </w14:textFill>
        </w:rPr>
      </w:pPr>
      <w:r>
        <w:rPr>
          <w:rFonts w:ascii="Times New Roman" w:hAnsi="Times New Roman" w:eastAsia="微软雅黑" w:cs="Times New Roman"/>
          <w:color w:val="000000" w:themeColor="text1"/>
          <w:kern w:val="0"/>
          <w:sz w:val="56"/>
          <w:szCs w:val="56"/>
          <w:shd w:val="clear" w:color="auto" w:fill="FFFFFF"/>
          <w14:textFill>
            <w14:solidFill>
              <w14:schemeClr w14:val="tx1"/>
            </w14:solidFill>
          </w14:textFill>
        </w:rPr>
        <w:t> </w:t>
      </w:r>
    </w:p>
    <w:p>
      <w:pPr>
        <w:widowControl/>
        <w:shd w:val="clear" w:color="auto" w:fill="FFFFFF"/>
        <w:spacing w:line="23" w:lineRule="atLeast"/>
        <w:rPr>
          <w:rFonts w:ascii="微软雅黑" w:hAnsi="微软雅黑" w:eastAsia="微软雅黑" w:cs="微软雅黑"/>
          <w:color w:val="000000" w:themeColor="text1"/>
          <w:sz w:val="24"/>
          <w14:textFill>
            <w14:solidFill>
              <w14:schemeClr w14:val="tx1"/>
            </w14:solidFill>
          </w14:textFill>
        </w:rPr>
      </w:pPr>
      <w:r>
        <w:rPr>
          <w:rFonts w:ascii="Times New Roman" w:hAnsi="Times New Roman" w:eastAsia="微软雅黑" w:cs="Times New Roman"/>
          <w:color w:val="000000" w:themeColor="text1"/>
          <w:kern w:val="0"/>
          <w:szCs w:val="21"/>
          <w:shd w:val="clear" w:color="auto" w:fill="FFFFFF"/>
          <w14:textFill>
            <w14:solidFill>
              <w14:schemeClr w14:val="tx1"/>
            </w14:solidFill>
          </w14:textFill>
        </w:rPr>
        <w:t> </w:t>
      </w:r>
    </w:p>
    <w:p>
      <w:pPr>
        <w:widowControl/>
        <w:shd w:val="clear" w:color="auto" w:fill="FFFFFF"/>
        <w:spacing w:line="23" w:lineRule="atLeast"/>
        <w:rPr>
          <w:rFonts w:ascii="微软雅黑" w:hAnsi="微软雅黑" w:eastAsia="微软雅黑" w:cs="微软雅黑"/>
          <w:color w:val="000000" w:themeColor="text1"/>
          <w:sz w:val="24"/>
          <w14:textFill>
            <w14:solidFill>
              <w14:schemeClr w14:val="tx1"/>
            </w14:solidFill>
          </w14:textFill>
        </w:rPr>
      </w:pPr>
      <w:r>
        <w:rPr>
          <w:rFonts w:ascii="Times New Roman" w:hAnsi="Times New Roman" w:eastAsia="微软雅黑" w:cs="Times New Roman"/>
          <w:color w:val="000000" w:themeColor="text1"/>
          <w:kern w:val="0"/>
          <w:szCs w:val="21"/>
          <w:shd w:val="clear" w:color="auto" w:fill="FFFFFF"/>
          <w14:textFill>
            <w14:solidFill>
              <w14:schemeClr w14:val="tx1"/>
            </w14:solidFill>
          </w14:textFill>
        </w:rPr>
        <w:t> </w:t>
      </w:r>
    </w:p>
    <w:p>
      <w:pPr>
        <w:pStyle w:val="7"/>
        <w:widowControl/>
        <w:shd w:val="clear" w:color="auto" w:fill="FFFFFF"/>
        <w:rPr>
          <w:rFonts w:ascii="微软雅黑" w:hAnsi="微软雅黑" w:eastAsia="微软雅黑" w:cs="微软雅黑"/>
          <w:color w:val="000000" w:themeColor="text1"/>
          <w14:textFill>
            <w14:solidFill>
              <w14:schemeClr w14:val="tx1"/>
            </w14:solidFill>
          </w14:textFill>
        </w:rPr>
      </w:pPr>
      <w:r>
        <w:rPr>
          <w:rFonts w:ascii="Times New Roman" w:hAnsi="Times New Roman" w:eastAsia="微软雅黑" w:cs="Times New Roman"/>
          <w:color w:val="000000" w:themeColor="text1"/>
          <w:sz w:val="21"/>
          <w:szCs w:val="21"/>
          <w:shd w:val="clear" w:color="auto" w:fill="FFFFFF"/>
          <w14:textFill>
            <w14:solidFill>
              <w14:schemeClr w14:val="tx1"/>
            </w14:solidFill>
          </w14:textFill>
        </w:rPr>
        <w:t> </w:t>
      </w:r>
    </w:p>
    <w:p>
      <w:pPr>
        <w:widowControl/>
        <w:shd w:val="clear" w:color="auto" w:fill="FFFFFF"/>
        <w:rPr>
          <w:rFonts w:ascii="微软雅黑" w:hAnsi="微软雅黑" w:eastAsia="微软雅黑" w:cs="微软雅黑"/>
          <w:color w:val="000000" w:themeColor="text1"/>
          <w:sz w:val="24"/>
          <w14:textFill>
            <w14:solidFill>
              <w14:schemeClr w14:val="tx1"/>
            </w14:solidFill>
          </w14:textFill>
        </w:rPr>
      </w:pPr>
      <w:r>
        <w:rPr>
          <w:rFonts w:ascii="Times New Roman" w:hAnsi="Times New Roman" w:eastAsia="微软雅黑" w:cs="Times New Roman"/>
          <w:color w:val="000000" w:themeColor="text1"/>
          <w:kern w:val="0"/>
          <w:szCs w:val="21"/>
          <w:shd w:val="clear" w:color="auto" w:fill="FFFFFF"/>
          <w14:textFill>
            <w14:solidFill>
              <w14:schemeClr w14:val="tx1"/>
            </w14:solidFill>
          </w14:textFill>
        </w:rPr>
        <w:t> </w:t>
      </w:r>
    </w:p>
    <w:p>
      <w:pPr>
        <w:pStyle w:val="7"/>
        <w:widowControl/>
        <w:shd w:val="clear" w:color="auto" w:fill="FFFFFF"/>
        <w:rPr>
          <w:rFonts w:ascii="微软雅黑" w:hAnsi="微软雅黑" w:eastAsia="微软雅黑" w:cs="微软雅黑"/>
          <w:color w:val="000000" w:themeColor="text1"/>
          <w14:textFill>
            <w14:solidFill>
              <w14:schemeClr w14:val="tx1"/>
            </w14:solidFill>
          </w14:textFill>
        </w:rPr>
      </w:pPr>
      <w:r>
        <w:rPr>
          <w:rFonts w:ascii="Times New Roman" w:hAnsi="Times New Roman" w:eastAsia="微软雅黑" w:cs="Times New Roman"/>
          <w:color w:val="000000" w:themeColor="text1"/>
          <w:sz w:val="21"/>
          <w:szCs w:val="21"/>
          <w:shd w:val="clear" w:color="auto" w:fill="FFFFFF"/>
          <w14:textFill>
            <w14:solidFill>
              <w14:schemeClr w14:val="tx1"/>
            </w14:solidFill>
          </w14:textFill>
        </w:rPr>
        <w:t> </w:t>
      </w:r>
    </w:p>
    <w:p>
      <w:pPr>
        <w:widowControl/>
        <w:shd w:val="clear" w:color="auto" w:fill="FFFFFF"/>
        <w:spacing w:line="23" w:lineRule="atLeast"/>
        <w:jc w:val="center"/>
        <w:rPr>
          <w:rFonts w:ascii="仿宋_GB2312" w:hAnsi="微软雅黑" w:eastAsia="仿宋_GB2312" w:cs="仿宋_GB2312"/>
          <w:color w:val="000000" w:themeColor="text1"/>
          <w:kern w:val="0"/>
          <w:sz w:val="32"/>
          <w:szCs w:val="32"/>
          <w:shd w:val="clear" w:color="auto" w:fill="FFFFFF"/>
          <w14:textFill>
            <w14:solidFill>
              <w14:schemeClr w14:val="tx1"/>
            </w14:solidFill>
          </w14:textFill>
        </w:rPr>
      </w:pPr>
      <w:bookmarkStart w:id="6" w:name="_Toc1804613264_WPSOffice_Level1"/>
      <w:bookmarkStart w:id="7" w:name="_Toc929748385_WPSOffice_Level1"/>
      <w:bookmarkStart w:id="8" w:name="_Toc1307513999_WPSOffice_Level1"/>
      <w:r>
        <w:rPr>
          <w:rFonts w:hint="eastAsia" w:ascii="华文新魏" w:hAnsi="华文新魏" w:eastAsia="华文新魏" w:cs="华文新魏"/>
          <w:color w:val="000000" w:themeColor="text1"/>
          <w:kern w:val="0"/>
          <w:sz w:val="32"/>
          <w:szCs w:val="32"/>
          <w:shd w:val="clear" w:color="auto" w:fill="FFFFFF"/>
          <w14:textFill>
            <w14:solidFill>
              <w14:schemeClr w14:val="tx1"/>
            </w14:solidFill>
          </w14:textFill>
        </w:rPr>
        <w:t>宣城市生态环境局</w:t>
      </w:r>
      <w:bookmarkEnd w:id="6"/>
      <w:bookmarkEnd w:id="7"/>
      <w:bookmarkEnd w:id="8"/>
      <w:r>
        <w:rPr>
          <w:rFonts w:ascii="仿宋_GB2312" w:hAnsi="微软雅黑" w:eastAsia="仿宋_GB2312" w:cs="仿宋_GB2312"/>
          <w:color w:val="000000" w:themeColor="text1"/>
          <w:kern w:val="0"/>
          <w:sz w:val="32"/>
          <w:szCs w:val="32"/>
          <w:shd w:val="clear" w:color="auto" w:fill="FFFFFF"/>
          <w14:textFill>
            <w14:solidFill>
              <w14:schemeClr w14:val="tx1"/>
            </w14:solidFill>
          </w14:textFill>
        </w:rPr>
        <w:t> </w:t>
      </w:r>
    </w:p>
    <w:p>
      <w:pPr>
        <w:widowControl/>
        <w:shd w:val="clear" w:color="auto" w:fill="FFFFFF"/>
        <w:wordWrap w:val="0"/>
        <w:spacing w:line="560" w:lineRule="atLeast"/>
        <w:rPr>
          <w:rFonts w:ascii="仿宋_GB2312" w:hAnsi="微软雅黑" w:eastAsia="仿宋_GB2312" w:cs="仿宋_GB2312"/>
          <w:color w:val="000000" w:themeColor="text1"/>
          <w:kern w:val="0"/>
          <w:sz w:val="32"/>
          <w:szCs w:val="32"/>
          <w:shd w:val="clear" w:color="auto" w:fill="FFFFFF"/>
          <w14:textFill>
            <w14:solidFill>
              <w14:schemeClr w14:val="tx1"/>
            </w14:solidFill>
          </w14:textFill>
        </w:rPr>
      </w:pPr>
    </w:p>
    <w:p>
      <w:pPr>
        <w:widowControl/>
        <w:shd w:val="clear" w:color="auto" w:fill="FFFFFF"/>
        <w:wordWrap w:val="0"/>
        <w:spacing w:line="560" w:lineRule="atLeast"/>
        <w:rPr>
          <w:rFonts w:ascii="仿宋_GB2312" w:hAnsi="微软雅黑" w:eastAsia="仿宋_GB2312" w:cs="仿宋_GB2312"/>
          <w:color w:val="000000" w:themeColor="text1"/>
          <w:kern w:val="0"/>
          <w:sz w:val="32"/>
          <w:szCs w:val="32"/>
          <w:shd w:val="clear" w:color="auto" w:fill="FFFFFF"/>
          <w14:textFill>
            <w14:solidFill>
              <w14:schemeClr w14:val="tx1"/>
            </w14:solidFill>
          </w14:textFill>
        </w:rPr>
      </w:pPr>
    </w:p>
    <w:p>
      <w:pPr>
        <w:widowControl/>
        <w:shd w:val="clear" w:color="auto" w:fill="FFFFFF"/>
        <w:wordWrap w:val="0"/>
        <w:spacing w:line="560" w:lineRule="atLeast"/>
        <w:rPr>
          <w:rFonts w:ascii="仿宋_GB2312" w:hAnsi="微软雅黑" w:eastAsia="仿宋_GB2312" w:cs="仿宋_GB2312"/>
          <w:color w:val="000000" w:themeColor="text1"/>
          <w:kern w:val="0"/>
          <w:sz w:val="32"/>
          <w:szCs w:val="32"/>
          <w:shd w:val="clear" w:color="auto" w:fill="FFFFFF"/>
          <w14:textFill>
            <w14:solidFill>
              <w14:schemeClr w14:val="tx1"/>
            </w14:solidFill>
          </w14:textFill>
        </w:rPr>
      </w:pPr>
    </w:p>
    <w:p>
      <w:pPr>
        <w:widowControl/>
        <w:shd w:val="clear" w:color="auto" w:fill="FFFFFF"/>
        <w:wordWrap w:val="0"/>
        <w:spacing w:line="560" w:lineRule="atLeast"/>
        <w:rPr>
          <w:rFonts w:ascii="仿宋_GB2312" w:hAnsi="微软雅黑" w:eastAsia="仿宋_GB2312" w:cs="仿宋_GB2312"/>
          <w:color w:val="000000" w:themeColor="text1"/>
          <w:kern w:val="0"/>
          <w:sz w:val="32"/>
          <w:szCs w:val="32"/>
          <w:shd w:val="clear" w:color="auto" w:fill="FFFFFF"/>
          <w14:textFill>
            <w14:solidFill>
              <w14:schemeClr w14:val="tx1"/>
            </w14:solidFill>
          </w14:textFill>
        </w:rPr>
      </w:pPr>
    </w:p>
    <w:p>
      <w:pPr>
        <w:widowControl/>
        <w:shd w:val="clear" w:color="auto" w:fill="FFFFFF"/>
        <w:wordWrap w:val="0"/>
        <w:spacing w:line="560" w:lineRule="atLeast"/>
        <w:rPr>
          <w:rFonts w:ascii="仿宋_GB2312" w:hAnsi="微软雅黑" w:eastAsia="仿宋_GB2312" w:cs="仿宋_GB2312"/>
          <w:color w:val="000000" w:themeColor="text1"/>
          <w:kern w:val="0"/>
          <w:sz w:val="32"/>
          <w:szCs w:val="32"/>
          <w:shd w:val="clear" w:color="auto" w:fill="FFFFFF"/>
          <w14:textFill>
            <w14:solidFill>
              <w14:schemeClr w14:val="tx1"/>
            </w14:solidFill>
          </w14:textFill>
        </w:rPr>
      </w:pPr>
    </w:p>
    <w:p>
      <w:pPr>
        <w:pStyle w:val="2"/>
        <w:widowControl/>
        <w:spacing w:before="120" w:beforeAutospacing="0" w:after="120" w:afterAutospacing="0" w:line="405" w:lineRule="atLeast"/>
        <w:ind w:firstLine="556"/>
        <w:jc w:val="both"/>
        <w:rPr>
          <w:rFonts w:hint="default"/>
          <w:b w:val="0"/>
          <w:bCs w:val="0"/>
          <w:color w:val="000000" w:themeColor="text1"/>
          <w:sz w:val="27"/>
          <w:szCs w:val="27"/>
          <w14:textFill>
            <w14:solidFill>
              <w14:schemeClr w14:val="tx1"/>
            </w14:solidFill>
          </w14:textFill>
        </w:rPr>
      </w:pPr>
      <w:bookmarkStart w:id="9" w:name="_Toc80951452"/>
      <w:bookmarkEnd w:id="9"/>
      <w:bookmarkStart w:id="10" w:name="_Toc80951479"/>
      <w:bookmarkEnd w:id="10"/>
      <w:bookmarkStart w:id="11" w:name="_Toc112226302"/>
      <w:bookmarkStart w:id="12" w:name="_Toc2000406252_WPSOffice_Level1"/>
      <w:bookmarkStart w:id="13" w:name="_Toc1419905842_WPSOffice_Level1"/>
      <w:r>
        <w:rPr>
          <w:rFonts w:hint="default" w:ascii="Times New Roman" w:hAnsi="Times New Roman"/>
          <w:color w:val="000000" w:themeColor="text1"/>
          <w:sz w:val="32"/>
          <w:szCs w:val="32"/>
          <w:shd w:val="clear" w:color="auto" w:fill="FFFFFF"/>
          <w14:textFill>
            <w14:solidFill>
              <w14:schemeClr w14:val="tx1"/>
            </w14:solidFill>
          </w14:textFill>
        </w:rPr>
        <w:t>1</w:t>
      </w:r>
      <w:bookmarkEnd w:id="11"/>
      <w:r>
        <w:rPr>
          <w:rFonts w:hint="default" w:ascii="仿宋_GB2312" w:eastAsia="仿宋_GB2312" w:cs="仿宋_GB2312"/>
          <w:color w:val="000000" w:themeColor="text1"/>
          <w:sz w:val="32"/>
          <w:szCs w:val="32"/>
          <w:shd w:val="clear" w:color="auto" w:fill="FFFFFF"/>
          <w14:textFill>
            <w14:solidFill>
              <w14:schemeClr w14:val="tx1"/>
            </w14:solidFill>
          </w14:textFill>
        </w:rPr>
        <w:t>总则</w:t>
      </w:r>
      <w:bookmarkEnd w:id="12"/>
      <w:bookmarkEnd w:id="13"/>
    </w:p>
    <w:p>
      <w:pPr>
        <w:pStyle w:val="3"/>
        <w:widowControl/>
        <w:spacing w:beforeAutospacing="0" w:afterAutospacing="0" w:line="360" w:lineRule="atLeast"/>
        <w:ind w:firstLine="560"/>
        <w:jc w:val="both"/>
        <w:rPr>
          <w:rFonts w:hint="default"/>
          <w:b w:val="0"/>
          <w:bCs w:val="0"/>
          <w:color w:val="000000" w:themeColor="text1"/>
          <w:sz w:val="24"/>
          <w:szCs w:val="24"/>
          <w14:textFill>
            <w14:solidFill>
              <w14:schemeClr w14:val="tx1"/>
            </w14:solidFill>
          </w14:textFill>
        </w:rPr>
      </w:pPr>
      <w:bookmarkStart w:id="14" w:name="_Toc24285_WPSOffice_Level1"/>
      <w:bookmarkEnd w:id="14"/>
      <w:bookmarkStart w:id="15" w:name="_Toc386992330_WPSOffice_Level1"/>
      <w:bookmarkStart w:id="16" w:name="_Toc2131711965_WPSOffice_Level1"/>
      <w:r>
        <w:rPr>
          <w:rFonts w:hint="default" w:ascii="Times New Roman" w:hAnsi="Times New Roman"/>
          <w:b w:val="0"/>
          <w:bCs w:val="0"/>
          <w:color w:val="000000" w:themeColor="text1"/>
          <w:sz w:val="28"/>
          <w:szCs w:val="28"/>
          <w:shd w:val="clear" w:color="auto" w:fill="FFFFFF"/>
          <w14:textFill>
            <w14:solidFill>
              <w14:schemeClr w14:val="tx1"/>
            </w14:solidFill>
          </w14:textFill>
        </w:rPr>
        <w:t>1.1 </w:t>
      </w:r>
      <w:bookmarkStart w:id="17" w:name="_Toc80951480"/>
      <w:bookmarkEnd w:id="17"/>
      <w:bookmarkStart w:id="18" w:name="_Toc112226303"/>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编制目的</w:t>
      </w:r>
      <w:bookmarkEnd w:id="15"/>
      <w:bookmarkEnd w:id="16"/>
      <w:bookmarkEnd w:id="18"/>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保证核技术应用、伴生放射性矿开发以及放射性物质运输等各类意外事故应急处置工作有序进行，最大限度地控制和减少事故造成的危害，健全辐射事故应对工作机制，科学有序高效应对辐射事故，保障人民群众生命财产安全和环境安全，维护社会稳定。</w:t>
      </w:r>
    </w:p>
    <w:p>
      <w:pPr>
        <w:pStyle w:val="3"/>
        <w:widowControl/>
        <w:spacing w:beforeAutospacing="0" w:afterAutospacing="0" w:line="360" w:lineRule="atLeast"/>
        <w:ind w:firstLine="560"/>
        <w:jc w:val="both"/>
        <w:rPr>
          <w:rFonts w:hint="default"/>
          <w:b w:val="0"/>
          <w:bCs w:val="0"/>
          <w:color w:val="000000" w:themeColor="text1"/>
          <w:sz w:val="24"/>
          <w:szCs w:val="24"/>
          <w14:textFill>
            <w14:solidFill>
              <w14:schemeClr w14:val="tx1"/>
            </w14:solidFill>
          </w14:textFill>
        </w:rPr>
      </w:pPr>
      <w:bookmarkStart w:id="19" w:name="_Toc112226304"/>
      <w:bookmarkEnd w:id="19"/>
      <w:bookmarkStart w:id="20" w:name="_Toc221351761_WPSOffice_Level1"/>
      <w:bookmarkStart w:id="21" w:name="_Toc1114147441_WPSOffice_Level1"/>
      <w:r>
        <w:rPr>
          <w:rFonts w:hint="default" w:ascii="Times New Roman" w:hAnsi="Times New Roman"/>
          <w:b w:val="0"/>
          <w:bCs w:val="0"/>
          <w:color w:val="000000" w:themeColor="text1"/>
          <w:sz w:val="28"/>
          <w:szCs w:val="28"/>
          <w:shd w:val="clear" w:color="auto" w:fill="FFFFFF"/>
          <w14:textFill>
            <w14:solidFill>
              <w14:schemeClr w14:val="tx1"/>
            </w14:solidFill>
          </w14:textFill>
        </w:rPr>
        <w:t>1.2 </w:t>
      </w:r>
      <w:bookmarkStart w:id="22" w:name="_Toc80951481"/>
      <w:bookmarkEnd w:id="22"/>
      <w:bookmarkStart w:id="23" w:name="_Toc5077_WPSOffice_Level1"/>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编制依据</w:t>
      </w:r>
      <w:bookmarkEnd w:id="20"/>
      <w:bookmarkEnd w:id="21"/>
      <w:bookmarkEnd w:id="23"/>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1</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）《中华人民共和国环境保护法》；</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）《中华人民共和国放射性污染防治法》；</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3</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）《中华人民共和国突发事件应对法》；</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4</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）《放射性同位素与射线装置安全和防护条例》；</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5</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）《放射性同位素与射线装置安全和防护管理办法》；</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6</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）《突发公共卫生事件应急条例》；</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7</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）《国家突发环境事件应急预案》；</w:t>
      </w:r>
    </w:p>
    <w:p>
      <w:pPr>
        <w:widowControl/>
        <w:spacing w:line="23" w:lineRule="atLeast"/>
        <w:ind w:firstLine="560"/>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hint="eastAsia" w:ascii="Times New Roman" w:hAnsi="Times New Roman" w:eastAsia="微软雅黑" w:cs="Times New Roman"/>
          <w:color w:val="000000" w:themeColor="text1"/>
          <w:kern w:val="0"/>
          <w:sz w:val="28"/>
          <w:szCs w:val="28"/>
          <w:shd w:val="clear" w:color="auto" w:fill="FFFFFF"/>
          <w:lang w:val="en-US" w:eastAsia="zh-CN"/>
          <w14:textFill>
            <w14:solidFill>
              <w14:schemeClr w14:val="tx1"/>
            </w14:solidFill>
          </w14:textFill>
        </w:rPr>
        <w:t>8</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）《放射性物品运输安全管理条例》</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hint="eastAsia" w:ascii="Times New Roman" w:hAnsi="Times New Roman" w:eastAsia="微软雅黑" w:cs="Times New Roman"/>
          <w:color w:val="000000" w:themeColor="text1"/>
          <w:kern w:val="0"/>
          <w:sz w:val="28"/>
          <w:szCs w:val="28"/>
          <w:shd w:val="clear" w:color="auto" w:fill="FFFFFF"/>
          <w:lang w:val="en-US" w:eastAsia="zh-CN"/>
          <w14:textFill>
            <w14:solidFill>
              <w14:schemeClr w14:val="tx1"/>
            </w14:solidFill>
          </w14:textFill>
        </w:rPr>
        <w:t>9</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）《安徽省辐射事故应急预案》；</w:t>
      </w:r>
    </w:p>
    <w:p>
      <w:pPr>
        <w:pStyle w:val="3"/>
        <w:widowControl/>
        <w:spacing w:beforeAutospacing="0" w:afterAutospacing="0" w:line="360" w:lineRule="atLeast"/>
        <w:ind w:firstLine="560"/>
        <w:jc w:val="both"/>
        <w:rPr>
          <w:rFonts w:hint="eastAsia" w:ascii="仿宋_GB2312" w:eastAsia="仿宋_GB2312" w:cs="仿宋_GB2312"/>
          <w:b w:val="0"/>
          <w:bCs w:val="0"/>
          <w:color w:val="000000" w:themeColor="text1"/>
          <w:sz w:val="28"/>
          <w:szCs w:val="28"/>
          <w:shd w:val="clear" w:color="auto" w:fill="FFFFFF"/>
          <w:lang w:eastAsia="zh-CN"/>
          <w14:textFill>
            <w14:solidFill>
              <w14:schemeClr w14:val="tx1"/>
            </w14:solidFill>
          </w14:textFill>
        </w:rPr>
      </w:pPr>
      <w:r>
        <w:rPr>
          <w:rFonts w:hint="eastAsia" w:ascii="仿宋_GB2312" w:eastAsia="仿宋_GB2312" w:cs="仿宋_GB2312"/>
          <w:b w:val="0"/>
          <w:bCs w:val="0"/>
          <w:color w:val="000000" w:themeColor="text1"/>
          <w:sz w:val="28"/>
          <w:szCs w:val="28"/>
          <w:shd w:val="clear" w:color="auto" w:fill="FFFFFF"/>
          <w:lang w:eastAsia="zh-CN"/>
          <w14:textFill>
            <w14:solidFill>
              <w14:schemeClr w14:val="tx1"/>
            </w14:solidFill>
          </w14:textFill>
        </w:rPr>
        <w:t>（</w:t>
      </w:r>
      <w:r>
        <w:rPr>
          <w:rFonts w:hint="eastAsia" w:ascii="仿宋_GB2312" w:eastAsia="仿宋_GB2312" w:cs="仿宋_GB2312"/>
          <w:b w:val="0"/>
          <w:bCs w:val="0"/>
          <w:color w:val="000000" w:themeColor="text1"/>
          <w:sz w:val="28"/>
          <w:szCs w:val="28"/>
          <w:shd w:val="clear" w:color="auto" w:fill="FFFFFF"/>
          <w:lang w:val="en-US" w:eastAsia="zh-CN"/>
          <w14:textFill>
            <w14:solidFill>
              <w14:schemeClr w14:val="tx1"/>
            </w14:solidFill>
          </w14:textFill>
        </w:rPr>
        <w:t>10</w:t>
      </w:r>
      <w:r>
        <w:rPr>
          <w:rFonts w:hint="eastAsia" w:ascii="仿宋_GB2312" w:eastAsia="仿宋_GB2312" w:cs="仿宋_GB2312"/>
          <w:b w:val="0"/>
          <w:bCs w:val="0"/>
          <w:color w:val="000000" w:themeColor="text1"/>
          <w:sz w:val="28"/>
          <w:szCs w:val="28"/>
          <w:shd w:val="clear" w:color="auto" w:fill="FFFFFF"/>
          <w:lang w:eastAsia="zh-CN"/>
          <w14:textFill>
            <w14:solidFill>
              <w14:schemeClr w14:val="tx1"/>
            </w14:solidFill>
          </w14:textFill>
        </w:rPr>
        <w:t>）《</w:t>
      </w:r>
      <w:r>
        <w:rPr>
          <w:rFonts w:hint="eastAsia" w:ascii="仿宋_GB2312" w:eastAsia="仿宋_GB2312" w:cs="仿宋_GB2312"/>
          <w:b w:val="0"/>
          <w:bCs w:val="0"/>
          <w:color w:val="000000" w:themeColor="text1"/>
          <w:sz w:val="28"/>
          <w:szCs w:val="28"/>
          <w:shd w:val="clear" w:color="auto" w:fill="FFFFFF"/>
          <w14:textFill>
            <w14:solidFill>
              <w14:schemeClr w14:val="tx1"/>
            </w14:solidFill>
          </w14:textFill>
        </w:rPr>
        <w:t>安徽省突发事件应对条例</w:t>
      </w:r>
      <w:r>
        <w:rPr>
          <w:rFonts w:hint="eastAsia" w:ascii="仿宋_GB2312" w:eastAsia="仿宋_GB2312" w:cs="仿宋_GB2312"/>
          <w:b w:val="0"/>
          <w:bCs w:val="0"/>
          <w:color w:val="000000" w:themeColor="text1"/>
          <w:sz w:val="28"/>
          <w:szCs w:val="28"/>
          <w:shd w:val="clear" w:color="auto" w:fill="FFFFFF"/>
          <w:lang w:eastAsia="zh-CN"/>
          <w14:textFill>
            <w14:solidFill>
              <w14:schemeClr w14:val="tx1"/>
            </w14:solidFill>
          </w14:textFill>
        </w:rPr>
        <w:t>》；</w:t>
      </w:r>
    </w:p>
    <w:p>
      <w:pPr>
        <w:pStyle w:val="3"/>
        <w:widowControl/>
        <w:spacing w:beforeAutospacing="0" w:afterAutospacing="0" w:line="360" w:lineRule="atLeast"/>
        <w:ind w:firstLine="560"/>
        <w:jc w:val="both"/>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pPr>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（1</w:t>
      </w:r>
      <w:r>
        <w:rPr>
          <w:rFonts w:hint="eastAsia" w:ascii="仿宋_GB2312" w:eastAsia="仿宋_GB2312" w:cs="仿宋_GB2312"/>
          <w:b w:val="0"/>
          <w:bCs w:val="0"/>
          <w:color w:val="000000" w:themeColor="text1"/>
          <w:sz w:val="28"/>
          <w:szCs w:val="28"/>
          <w:shd w:val="clear" w:color="auto" w:fill="FFFFFF"/>
          <w:lang w:val="en-US" w:eastAsia="zh-CN"/>
          <w14:textFill>
            <w14:solidFill>
              <w14:schemeClr w14:val="tx1"/>
            </w14:solidFill>
          </w14:textFill>
        </w:rPr>
        <w:t>1</w:t>
      </w:r>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）《宣城市突发环境事件应急预案》。</w:t>
      </w:r>
    </w:p>
    <w:p>
      <w:pPr>
        <w:pStyle w:val="3"/>
        <w:widowControl/>
        <w:spacing w:beforeAutospacing="0" w:afterAutospacing="0" w:line="360" w:lineRule="atLeast"/>
        <w:ind w:firstLine="560"/>
        <w:jc w:val="both"/>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pPr>
      <w:bookmarkStart w:id="24" w:name="_Toc80951482"/>
      <w:bookmarkEnd w:id="24"/>
      <w:bookmarkStart w:id="25" w:name="_Toc1331455632_WPSOffice_Level1"/>
      <w:bookmarkStart w:id="26" w:name="_Toc198352230_WPSOffice_Level1"/>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1.3 </w:t>
      </w:r>
      <w:bookmarkStart w:id="27" w:name="_Toc112226305"/>
      <w:bookmarkEnd w:id="27"/>
      <w:bookmarkStart w:id="28" w:name="_Toc18361_WPSOffice_Level1"/>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适用范围</w:t>
      </w:r>
      <w:bookmarkEnd w:id="25"/>
      <w:bookmarkEnd w:id="26"/>
      <w:bookmarkEnd w:id="28"/>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本预案适用于</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宣城市</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内辐射事故应对工作。</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辐射事故主要是指放射源丢失、被盗、失控，放射性同位素和射线装置失控导致人员受到意外的异常照射事件，或者涉核航天器坠落造成的放射性污染事故。主要包括：</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1</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）放射性废物处理、处置设施发生的辐射事故；</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）放射性物质运输中发生的事故；</w:t>
      </w:r>
    </w:p>
    <w:p>
      <w:pPr>
        <w:pStyle w:val="7"/>
        <w:widowControl/>
        <w:ind w:firstLine="560"/>
        <w:rPr>
          <w:color w:val="000000" w:themeColor="text1"/>
          <w14:textFill>
            <w14:solidFill>
              <w14:schemeClr w14:val="tx1"/>
            </w14:solidFill>
          </w14:textFill>
        </w:rPr>
      </w:pPr>
      <w:r>
        <w:rPr>
          <w:rFonts w:ascii="仿宋_GB2312" w:hAnsi="微软雅黑" w:eastAsia="仿宋_GB2312" w:cs="仿宋_GB2312"/>
          <w:color w:val="000000" w:themeColor="text1"/>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sz w:val="28"/>
          <w:szCs w:val="28"/>
          <w:shd w:val="clear" w:color="auto" w:fill="FFFFFF"/>
          <w14:textFill>
            <w14:solidFill>
              <w14:schemeClr w14:val="tx1"/>
            </w14:solidFill>
          </w14:textFill>
        </w:rPr>
        <w:t>3</w:t>
      </w:r>
      <w:r>
        <w:rPr>
          <w:rFonts w:ascii="仿宋_GB2312" w:hAnsi="微软雅黑" w:eastAsia="仿宋_GB2312" w:cs="仿宋_GB2312"/>
          <w:color w:val="000000" w:themeColor="text1"/>
          <w:sz w:val="28"/>
          <w:szCs w:val="28"/>
          <w:shd w:val="clear" w:color="auto" w:fill="FFFFFF"/>
          <w14:textFill>
            <w14:solidFill>
              <w14:schemeClr w14:val="tx1"/>
            </w14:solidFill>
          </w14:textFill>
        </w:rPr>
        <w:t>）核技术利用中发生的辐射事故；</w:t>
      </w:r>
    </w:p>
    <w:p>
      <w:pPr>
        <w:pStyle w:val="7"/>
        <w:widowControl/>
        <w:ind w:firstLine="560"/>
        <w:rPr>
          <w:color w:val="000000" w:themeColor="text1"/>
          <w14:textFill>
            <w14:solidFill>
              <w14:schemeClr w14:val="tx1"/>
            </w14:solidFill>
          </w14:textFill>
        </w:rPr>
      </w:pPr>
      <w:r>
        <w:rPr>
          <w:rFonts w:ascii="仿宋_GB2312" w:hAnsi="微软雅黑" w:eastAsia="仿宋_GB2312" w:cs="仿宋_GB2312"/>
          <w:color w:val="000000" w:themeColor="text1"/>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sz w:val="28"/>
          <w:szCs w:val="28"/>
          <w:shd w:val="clear" w:color="auto" w:fill="FFFFFF"/>
          <w14:textFill>
            <w14:solidFill>
              <w14:schemeClr w14:val="tx1"/>
            </w14:solidFill>
          </w14:textFill>
        </w:rPr>
        <w:t>4</w:t>
      </w:r>
      <w:r>
        <w:rPr>
          <w:rFonts w:ascii="仿宋_GB2312" w:hAnsi="微软雅黑" w:eastAsia="仿宋_GB2312" w:cs="仿宋_GB2312"/>
          <w:color w:val="000000" w:themeColor="text1"/>
          <w:sz w:val="28"/>
          <w:szCs w:val="28"/>
          <w:shd w:val="clear" w:color="auto" w:fill="FFFFFF"/>
          <w14:textFill>
            <w14:solidFill>
              <w14:schemeClr w14:val="tx1"/>
            </w14:solidFill>
          </w14:textFill>
        </w:rPr>
        <w:t>）铀矿冶及伴生矿开发利用中发生的环境辐射污染事故；</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5</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）可能对</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宣城市</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环境造成辐射影响的市外辐射事故；</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6</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）国内外航天器在我市内坠落造成环境辐射污染事故；</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7</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）各种重大自然灾害引发的次生辐射事故。</w:t>
      </w:r>
    </w:p>
    <w:p>
      <w:pPr>
        <w:pStyle w:val="3"/>
        <w:widowControl/>
        <w:spacing w:beforeAutospacing="0" w:afterAutospacing="0" w:line="360" w:lineRule="atLeast"/>
        <w:ind w:firstLine="560"/>
        <w:jc w:val="both"/>
        <w:rPr>
          <w:rFonts w:hint="default"/>
          <w:b w:val="0"/>
          <w:bCs w:val="0"/>
          <w:color w:val="000000" w:themeColor="text1"/>
          <w:sz w:val="24"/>
          <w:szCs w:val="24"/>
          <w14:textFill>
            <w14:solidFill>
              <w14:schemeClr w14:val="tx1"/>
            </w14:solidFill>
          </w14:textFill>
        </w:rPr>
      </w:pPr>
      <w:bookmarkStart w:id="29" w:name="_Toc80951483"/>
      <w:bookmarkEnd w:id="29"/>
      <w:bookmarkStart w:id="30" w:name="_Toc1257276684_WPSOffice_Level1"/>
      <w:bookmarkStart w:id="31" w:name="_Toc407797741_WPSOffice_Level1"/>
      <w:r>
        <w:rPr>
          <w:rFonts w:hint="default" w:ascii="Times New Roman" w:hAnsi="Times New Roman"/>
          <w:b w:val="0"/>
          <w:bCs w:val="0"/>
          <w:color w:val="000000" w:themeColor="text1"/>
          <w:sz w:val="28"/>
          <w:szCs w:val="28"/>
          <w:shd w:val="clear" w:color="auto" w:fill="FFFFFF"/>
          <w14:textFill>
            <w14:solidFill>
              <w14:schemeClr w14:val="tx1"/>
            </w14:solidFill>
          </w14:textFill>
        </w:rPr>
        <w:t>1.4 </w:t>
      </w:r>
      <w:bookmarkStart w:id="32" w:name="_Toc23658_WPSOffice_Level1"/>
      <w:bookmarkEnd w:id="32"/>
      <w:bookmarkStart w:id="33" w:name="_Toc112226306"/>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工作原则</w:t>
      </w:r>
      <w:bookmarkEnd w:id="30"/>
      <w:bookmarkEnd w:id="31"/>
      <w:bookmarkEnd w:id="33"/>
    </w:p>
    <w:p>
      <w:pPr>
        <w:pStyle w:val="7"/>
        <w:widowControl/>
        <w:ind w:firstLine="562"/>
        <w:rPr>
          <w:color w:val="000000" w:themeColor="text1"/>
          <w14:textFill>
            <w14:solidFill>
              <w14:schemeClr w14:val="tx1"/>
            </w14:solidFill>
          </w14:textFill>
        </w:rPr>
      </w:pPr>
      <w:r>
        <w:rPr>
          <w:rFonts w:ascii="仿宋_GB2312" w:hAnsi="微软雅黑" w:eastAsia="仿宋_GB2312" w:cs="仿宋_GB2312"/>
          <w:b/>
          <w:bCs/>
          <w:color w:val="000000" w:themeColor="text1"/>
          <w:sz w:val="28"/>
          <w:szCs w:val="28"/>
          <w:shd w:val="clear" w:color="auto" w:fill="FFFFFF"/>
          <w14:textFill>
            <w14:solidFill>
              <w14:schemeClr w14:val="tx1"/>
            </w14:solidFill>
          </w14:textFill>
        </w:rPr>
        <w:t>以人为本，预防为主。</w:t>
      </w:r>
      <w:r>
        <w:rPr>
          <w:rFonts w:ascii="仿宋_GB2312" w:hAnsi="微软雅黑" w:eastAsia="仿宋_GB2312" w:cs="仿宋_GB2312"/>
          <w:color w:val="000000" w:themeColor="text1"/>
          <w:sz w:val="28"/>
          <w:szCs w:val="28"/>
          <w:shd w:val="clear" w:color="auto" w:fill="FFFFFF"/>
          <w14:textFill>
            <w14:solidFill>
              <w14:schemeClr w14:val="tx1"/>
            </w14:solidFill>
          </w14:textFill>
        </w:rPr>
        <w:t>对可能造成人员伤亡的辐射事故，及时采取人员避险措施。发生辐射事故后，优先开展人员抢救应急处置行动，同时关注救援人员自身安全防护。依法加强对放射源的监督管理，做好日常监测、监控工作，建立突发辐射事故的预警和风险防范体系，及时控制、消除隐患，做好辐射事故应急</w:t>
      </w:r>
      <w:r>
        <w:rPr>
          <w:rFonts w:hint="eastAsia" w:ascii="仿宋_GB2312" w:hAnsi="微软雅黑" w:eastAsia="仿宋_GB2312" w:cs="仿宋_GB2312"/>
          <w:color w:val="000000" w:themeColor="text1"/>
          <w:sz w:val="28"/>
          <w:szCs w:val="28"/>
          <w:shd w:val="clear" w:color="auto" w:fill="FFFFFF"/>
          <w14:textFill>
            <w14:solidFill>
              <w14:schemeClr w14:val="tx1"/>
            </w14:solidFill>
          </w14:textFill>
        </w:rPr>
        <w:t>演练</w:t>
      </w:r>
      <w:r>
        <w:rPr>
          <w:rFonts w:ascii="仿宋_GB2312" w:hAnsi="微软雅黑" w:eastAsia="仿宋_GB2312" w:cs="仿宋_GB2312"/>
          <w:color w:val="000000" w:themeColor="text1"/>
          <w:sz w:val="28"/>
          <w:szCs w:val="28"/>
          <w:shd w:val="clear" w:color="auto" w:fill="FFFFFF"/>
          <w14:textFill>
            <w14:solidFill>
              <w14:schemeClr w14:val="tx1"/>
            </w14:solidFill>
          </w14:textFill>
        </w:rPr>
        <w:t>。</w:t>
      </w:r>
    </w:p>
    <w:p>
      <w:pPr>
        <w:pStyle w:val="7"/>
        <w:widowControl/>
        <w:ind w:firstLine="562"/>
        <w:rPr>
          <w:color w:val="000000" w:themeColor="text1"/>
          <w14:textFill>
            <w14:solidFill>
              <w14:schemeClr w14:val="tx1"/>
            </w14:solidFill>
          </w14:textFill>
        </w:rPr>
      </w:pPr>
      <w:r>
        <w:rPr>
          <w:rFonts w:ascii="仿宋_GB2312" w:hAnsi="微软雅黑" w:eastAsia="仿宋_GB2312" w:cs="仿宋_GB2312"/>
          <w:b/>
          <w:bCs/>
          <w:color w:val="000000" w:themeColor="text1"/>
          <w:sz w:val="28"/>
          <w:szCs w:val="28"/>
          <w:shd w:val="clear" w:color="auto" w:fill="FFFFFF"/>
          <w14:textFill>
            <w14:solidFill>
              <w14:schemeClr w14:val="tx1"/>
            </w14:solidFill>
          </w14:textFill>
        </w:rPr>
        <w:t>属地为主，分类指导。</w:t>
      </w:r>
      <w:r>
        <w:rPr>
          <w:rFonts w:ascii="仿宋_GB2312" w:hAnsi="微软雅黑" w:eastAsia="仿宋_GB2312" w:cs="仿宋_GB2312"/>
          <w:color w:val="000000" w:themeColor="text1"/>
          <w:sz w:val="28"/>
          <w:szCs w:val="28"/>
          <w:shd w:val="clear" w:color="auto" w:fill="FFFFFF"/>
          <w14:textFill>
            <w14:solidFill>
              <w14:schemeClr w14:val="tx1"/>
            </w14:solidFill>
          </w14:textFill>
        </w:rPr>
        <w:t>在</w:t>
      </w:r>
      <w:r>
        <w:rPr>
          <w:rFonts w:hint="eastAsia" w:ascii="仿宋_GB2312" w:hAnsi="微软雅黑" w:eastAsia="仿宋_GB2312" w:cs="仿宋_GB2312"/>
          <w:color w:val="000000" w:themeColor="text1"/>
          <w:sz w:val="28"/>
          <w:szCs w:val="28"/>
          <w:shd w:val="clear" w:color="auto" w:fill="FFFFFF"/>
          <w14:textFill>
            <w14:solidFill>
              <w14:schemeClr w14:val="tx1"/>
            </w14:solidFill>
          </w14:textFill>
        </w:rPr>
        <w:t>宣城市</w:t>
      </w:r>
      <w:r>
        <w:rPr>
          <w:rFonts w:ascii="仿宋_GB2312" w:hAnsi="微软雅黑" w:eastAsia="仿宋_GB2312" w:cs="仿宋_GB2312"/>
          <w:color w:val="000000" w:themeColor="text1"/>
          <w:sz w:val="28"/>
          <w:szCs w:val="28"/>
          <w:shd w:val="clear" w:color="auto" w:fill="FFFFFF"/>
          <w14:textFill>
            <w14:solidFill>
              <w14:schemeClr w14:val="tx1"/>
            </w14:solidFill>
          </w14:textFill>
        </w:rPr>
        <w:t>政府统一领导下，实行属地管理，各</w:t>
      </w:r>
      <w:r>
        <w:rPr>
          <w:rFonts w:hint="eastAsia" w:ascii="仿宋_GB2312" w:hAnsi="微软雅黑" w:eastAsia="仿宋_GB2312" w:cs="仿宋_GB2312"/>
          <w:color w:val="000000" w:themeColor="text1"/>
          <w:sz w:val="28"/>
          <w:szCs w:val="28"/>
          <w:shd w:val="clear" w:color="auto" w:fill="FFFFFF"/>
          <w14:textFill>
            <w14:solidFill>
              <w14:schemeClr w14:val="tx1"/>
            </w14:solidFill>
          </w14:textFill>
        </w:rPr>
        <w:t>县市区</w:t>
      </w:r>
      <w:r>
        <w:rPr>
          <w:rFonts w:ascii="仿宋_GB2312" w:hAnsi="微软雅黑" w:eastAsia="仿宋_GB2312" w:cs="仿宋_GB2312"/>
          <w:color w:val="000000" w:themeColor="text1"/>
          <w:sz w:val="28"/>
          <w:szCs w:val="28"/>
          <w:shd w:val="clear" w:color="auto" w:fill="FFFFFF"/>
          <w14:textFill>
            <w14:solidFill>
              <w14:schemeClr w14:val="tx1"/>
            </w14:solidFill>
          </w14:textFill>
        </w:rPr>
        <w:t>人民政府，接受统一调度，密切配合。在上级辐射事故应急机构的指导及支援下开展辐射事故应急工作。根据辐射事故严重程度分级响应，同级各部门之间分工负责，相互协作。</w:t>
      </w:r>
    </w:p>
    <w:p>
      <w:pPr>
        <w:pStyle w:val="7"/>
        <w:widowControl/>
        <w:ind w:firstLine="562"/>
        <w:rPr>
          <w:color w:val="000000" w:themeColor="text1"/>
          <w14:textFill>
            <w14:solidFill>
              <w14:schemeClr w14:val="tx1"/>
            </w14:solidFill>
          </w14:textFill>
        </w:rPr>
      </w:pPr>
      <w:r>
        <w:rPr>
          <w:rFonts w:ascii="仿宋_GB2312" w:hAnsi="微软雅黑" w:eastAsia="仿宋_GB2312" w:cs="仿宋_GB2312"/>
          <w:b/>
          <w:bCs/>
          <w:color w:val="000000" w:themeColor="text1"/>
          <w:sz w:val="28"/>
          <w:szCs w:val="28"/>
          <w:shd w:val="clear" w:color="auto" w:fill="FFFFFF"/>
          <w14:textFill>
            <w14:solidFill>
              <w14:schemeClr w14:val="tx1"/>
            </w14:solidFill>
          </w14:textFill>
        </w:rPr>
        <w:t>加强联动，大力协同。</w:t>
      </w:r>
      <w:r>
        <w:rPr>
          <w:rFonts w:ascii="仿宋_GB2312" w:hAnsi="微软雅黑" w:eastAsia="仿宋_GB2312" w:cs="仿宋_GB2312"/>
          <w:color w:val="000000" w:themeColor="text1"/>
          <w:sz w:val="28"/>
          <w:szCs w:val="28"/>
          <w:shd w:val="clear" w:color="auto" w:fill="FFFFFF"/>
          <w14:textFill>
            <w14:solidFill>
              <w14:schemeClr w14:val="tx1"/>
            </w14:solidFill>
          </w14:textFill>
        </w:rPr>
        <w:t>及时向上级辐射事故应急机构汇报事故及响应进展，必要时请求指导与支援；与各</w:t>
      </w:r>
      <w:r>
        <w:rPr>
          <w:rFonts w:hint="eastAsia" w:ascii="仿宋_GB2312" w:hAnsi="微软雅黑" w:eastAsia="仿宋_GB2312" w:cs="仿宋_GB2312"/>
          <w:color w:val="000000" w:themeColor="text1"/>
          <w:sz w:val="28"/>
          <w:szCs w:val="28"/>
          <w:shd w:val="clear" w:color="auto" w:fill="FFFFFF"/>
          <w14:textFill>
            <w14:solidFill>
              <w14:schemeClr w14:val="tx1"/>
            </w14:solidFill>
          </w14:textFill>
        </w:rPr>
        <w:t>县市区</w:t>
      </w:r>
      <w:r>
        <w:rPr>
          <w:rFonts w:ascii="仿宋_GB2312" w:hAnsi="微软雅黑" w:eastAsia="仿宋_GB2312" w:cs="仿宋_GB2312"/>
          <w:color w:val="000000" w:themeColor="text1"/>
          <w:sz w:val="28"/>
          <w:szCs w:val="28"/>
          <w:shd w:val="clear" w:color="auto" w:fill="FFFFFF"/>
          <w14:textFill>
            <w14:solidFill>
              <w14:schemeClr w14:val="tx1"/>
            </w14:solidFill>
          </w14:textFill>
        </w:rPr>
        <w:t>辐射事故应急机构之间，生态环境、应急、公安、卫生健康及其他相关部门之间，加强联动和信息互通，根据各自职责，大力协同，共同做好辐射事故应对工作。依托现有辐射事故应急力量和辖区内专业力量，建立专兼结合的辐射事故应急队伍。强化应急装备技术支撑，优化整合各类资源，提升辐射事故应急处理能力。</w:t>
      </w:r>
    </w:p>
    <w:p>
      <w:pPr>
        <w:pStyle w:val="7"/>
        <w:widowControl/>
        <w:ind w:firstLine="562"/>
        <w:rPr>
          <w:color w:val="000000" w:themeColor="text1"/>
          <w14:textFill>
            <w14:solidFill>
              <w14:schemeClr w14:val="tx1"/>
            </w14:solidFill>
          </w14:textFill>
        </w:rPr>
      </w:pPr>
      <w:r>
        <w:rPr>
          <w:rFonts w:ascii="仿宋_GB2312" w:hAnsi="微软雅黑" w:eastAsia="仿宋_GB2312" w:cs="仿宋_GB2312"/>
          <w:b/>
          <w:bCs/>
          <w:color w:val="000000" w:themeColor="text1"/>
          <w:sz w:val="28"/>
          <w:szCs w:val="28"/>
          <w:shd w:val="clear" w:color="auto" w:fill="FFFFFF"/>
          <w14:textFill>
            <w14:solidFill>
              <w14:schemeClr w14:val="tx1"/>
            </w14:solidFill>
          </w14:textFill>
        </w:rPr>
        <w:t>快速反应，科学处置。</w:t>
      </w:r>
      <w:r>
        <w:rPr>
          <w:rFonts w:ascii="仿宋_GB2312" w:hAnsi="微软雅黑" w:eastAsia="仿宋_GB2312" w:cs="仿宋_GB2312"/>
          <w:color w:val="000000" w:themeColor="text1"/>
          <w:sz w:val="28"/>
          <w:szCs w:val="28"/>
          <w:shd w:val="clear" w:color="auto" w:fill="FFFFFF"/>
          <w14:textFill>
            <w14:solidFill>
              <w14:schemeClr w14:val="tx1"/>
            </w14:solidFill>
          </w14:textFill>
        </w:rPr>
        <w:t>各</w:t>
      </w:r>
      <w:r>
        <w:rPr>
          <w:rFonts w:hint="eastAsia" w:ascii="仿宋_GB2312" w:hAnsi="微软雅黑" w:eastAsia="仿宋_GB2312" w:cs="仿宋_GB2312"/>
          <w:color w:val="000000" w:themeColor="text1"/>
          <w:sz w:val="28"/>
          <w:szCs w:val="28"/>
          <w:shd w:val="clear" w:color="auto" w:fill="FFFFFF"/>
          <w14:textFill>
            <w14:solidFill>
              <w14:schemeClr w14:val="tx1"/>
            </w14:solidFill>
          </w14:textFill>
        </w:rPr>
        <w:t>县市区</w:t>
      </w:r>
      <w:r>
        <w:rPr>
          <w:rFonts w:ascii="仿宋_GB2312" w:hAnsi="微软雅黑" w:eastAsia="仿宋_GB2312" w:cs="仿宋_GB2312"/>
          <w:color w:val="000000" w:themeColor="text1"/>
          <w:sz w:val="28"/>
          <w:szCs w:val="28"/>
          <w:shd w:val="clear" w:color="auto" w:fill="FFFFFF"/>
          <w14:textFill>
            <w14:solidFill>
              <w14:schemeClr w14:val="tx1"/>
            </w14:solidFill>
          </w14:textFill>
        </w:rPr>
        <w:t>人民政府应完善辐射事故应急预案，积极做好预防和应对辐射事故的各项准备。当辐射事故发生后，应迅速启动应急响应，及时上报信息，科学决策，快速应对，合理处置，并做好信息公开和善后处理工作。</w:t>
      </w:r>
    </w:p>
    <w:p>
      <w:pPr>
        <w:widowControl/>
        <w:jc w:val="left"/>
        <w:rPr>
          <w:color w:val="000000" w:themeColor="text1"/>
          <w14:textFill>
            <w14:solidFill>
              <w14:schemeClr w14:val="tx1"/>
            </w14:solidFill>
          </w14:textFill>
        </w:rPr>
      </w:pPr>
    </w:p>
    <w:p>
      <w:pPr>
        <w:pStyle w:val="2"/>
        <w:widowControl/>
        <w:spacing w:before="120" w:beforeAutospacing="0" w:after="120" w:afterAutospacing="0" w:line="405" w:lineRule="atLeast"/>
        <w:jc w:val="both"/>
        <w:rPr>
          <w:rFonts w:hint="default"/>
          <w:b w:val="0"/>
          <w:bCs w:val="0"/>
          <w:color w:val="000000" w:themeColor="text1"/>
          <w:sz w:val="27"/>
          <w:szCs w:val="27"/>
          <w14:textFill>
            <w14:solidFill>
              <w14:schemeClr w14:val="tx1"/>
            </w14:solidFill>
          </w14:textFill>
        </w:rPr>
      </w:pPr>
      <w:bookmarkStart w:id="34" w:name="_Toc112226307"/>
      <w:bookmarkEnd w:id="34"/>
      <w:bookmarkStart w:id="35" w:name="_Toc80951484"/>
      <w:bookmarkEnd w:id="35"/>
      <w:bookmarkStart w:id="36" w:name="_Toc80951453"/>
      <w:bookmarkStart w:id="37" w:name="_Toc178291362_WPSOffice_Level1"/>
      <w:bookmarkStart w:id="38" w:name="_Toc2053097210_WPSOffice_Level1"/>
      <w:r>
        <w:rPr>
          <w:rFonts w:hint="default" w:ascii="Times New Roman" w:hAnsi="Times New Roman"/>
          <w:color w:val="000000" w:themeColor="text1"/>
          <w:sz w:val="32"/>
          <w:szCs w:val="32"/>
          <w:shd w:val="clear" w:color="auto" w:fill="FFFFFF"/>
          <w14:textFill>
            <w14:solidFill>
              <w14:schemeClr w14:val="tx1"/>
            </w14:solidFill>
          </w14:textFill>
        </w:rPr>
        <w:t>2</w:t>
      </w:r>
      <w:bookmarkEnd w:id="36"/>
      <w:r>
        <w:rPr>
          <w:rFonts w:hint="default" w:ascii="仿宋_GB2312" w:eastAsia="仿宋_GB2312" w:cs="仿宋_GB2312"/>
          <w:color w:val="000000" w:themeColor="text1"/>
          <w:sz w:val="32"/>
          <w:szCs w:val="32"/>
          <w:shd w:val="clear" w:color="auto" w:fill="FFFFFF"/>
          <w14:textFill>
            <w14:solidFill>
              <w14:schemeClr w14:val="tx1"/>
            </w14:solidFill>
          </w14:textFill>
        </w:rPr>
        <w:t>事故分级</w:t>
      </w:r>
      <w:bookmarkEnd w:id="37"/>
      <w:bookmarkEnd w:id="38"/>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根据事故的性质、严重程度、可控性和影响范围等因素，把辐射事故分为特别重大、重大、较大和一般</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4</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个等级。</w:t>
      </w:r>
    </w:p>
    <w:p>
      <w:pPr>
        <w:pStyle w:val="3"/>
        <w:widowControl/>
        <w:spacing w:beforeAutospacing="0" w:afterAutospacing="0" w:line="360" w:lineRule="atLeast"/>
        <w:ind w:firstLine="560"/>
        <w:jc w:val="both"/>
        <w:rPr>
          <w:rFonts w:hint="default" w:eastAsia="仿宋_GB2312"/>
          <w:b w:val="0"/>
          <w:bCs w:val="0"/>
          <w:color w:val="000000" w:themeColor="text1"/>
          <w:sz w:val="24"/>
          <w:szCs w:val="24"/>
          <w14:textFill>
            <w14:solidFill>
              <w14:schemeClr w14:val="tx1"/>
            </w14:solidFill>
          </w14:textFill>
        </w:rPr>
      </w:pPr>
      <w:bookmarkStart w:id="39" w:name="_Toc80951485"/>
      <w:bookmarkEnd w:id="39"/>
      <w:bookmarkStart w:id="40" w:name="_Toc16044_WPSOffice_Level1"/>
      <w:bookmarkEnd w:id="40"/>
      <w:bookmarkStart w:id="41" w:name="_Toc112226308"/>
      <w:bookmarkStart w:id="42" w:name="_Toc1271858193_WPSOffice_Level1"/>
      <w:bookmarkStart w:id="43" w:name="_Toc607856173_WPSOffice_Level1"/>
      <w:r>
        <w:rPr>
          <w:rFonts w:hint="default" w:ascii="Times New Roman" w:hAnsi="Times New Roman"/>
          <w:b w:val="0"/>
          <w:bCs w:val="0"/>
          <w:color w:val="000000" w:themeColor="text1"/>
          <w:sz w:val="28"/>
          <w:szCs w:val="28"/>
          <w:shd w:val="clear" w:color="auto" w:fill="FFFFFF"/>
          <w14:textFill>
            <w14:solidFill>
              <w14:schemeClr w14:val="tx1"/>
            </w14:solidFill>
          </w14:textFill>
        </w:rPr>
        <w:t>2.1</w:t>
      </w:r>
      <w:bookmarkEnd w:id="41"/>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特别重大辐射</w:t>
      </w:r>
      <w:r>
        <w:rPr>
          <w:rFonts w:hint="default" w:ascii="仿宋_GB2312" w:hAnsi="微软雅黑" w:eastAsia="仿宋_GB2312" w:cs="仿宋_GB2312"/>
          <w:b w:val="0"/>
          <w:bCs w:val="0"/>
          <w:color w:val="000000" w:themeColor="text1"/>
          <w:sz w:val="28"/>
          <w:szCs w:val="28"/>
          <w:shd w:val="clear" w:color="auto" w:fill="FFFFFF"/>
          <w14:textFill>
            <w14:solidFill>
              <w14:schemeClr w14:val="tx1"/>
            </w14:solidFill>
          </w14:textFill>
        </w:rPr>
        <w:t>事故</w:t>
      </w:r>
      <w:r>
        <w:rPr>
          <w:rFonts w:ascii="仿宋_GB2312" w:hAnsi="微软雅黑" w:eastAsia="仿宋_GB2312" w:cs="仿宋_GB2312"/>
          <w:b w:val="0"/>
          <w:bCs w:val="0"/>
          <w:color w:val="000000" w:themeColor="text1"/>
          <w:sz w:val="28"/>
          <w:szCs w:val="28"/>
          <w:shd w:val="clear" w:color="auto" w:fill="FFFFFF"/>
          <w14:textFill>
            <w14:solidFill>
              <w14:schemeClr w14:val="tx1"/>
            </w14:solidFill>
          </w14:textFill>
        </w:rPr>
        <w:t>（Ⅰ级）</w:t>
      </w:r>
      <w:bookmarkEnd w:id="42"/>
      <w:bookmarkEnd w:id="43"/>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凡符合下列情形之一的，为特别重大辐射事故：</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（1）指</w:t>
      </w:r>
      <w:r>
        <w:rPr>
          <w:rFonts w:hint="eastAsia" w:ascii="宋体" w:hAnsi="宋体" w:eastAsia="宋体" w:cs="宋体"/>
          <w:color w:val="000000" w:themeColor="text1"/>
          <w:kern w:val="0"/>
          <w:sz w:val="28"/>
          <w:szCs w:val="28"/>
          <w:shd w:val="clear" w:color="auto" w:fill="FFFFFF"/>
          <w14:textFill>
            <w14:solidFill>
              <w14:schemeClr w14:val="tx1"/>
            </w14:solidFill>
          </w14:textFill>
        </w:rPr>
        <w:t>Ⅰ</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类、</w:t>
      </w:r>
      <w:r>
        <w:rPr>
          <w:rFonts w:hint="eastAsia" w:ascii="宋体" w:hAnsi="宋体" w:eastAsia="宋体" w:cs="宋体"/>
          <w:color w:val="000000" w:themeColor="text1"/>
          <w:kern w:val="0"/>
          <w:sz w:val="28"/>
          <w:szCs w:val="28"/>
          <w:shd w:val="clear" w:color="auto" w:fill="FFFFFF"/>
          <w14:textFill>
            <w14:solidFill>
              <w14:schemeClr w14:val="tx1"/>
            </w14:solidFill>
          </w14:textFill>
        </w:rPr>
        <w:t>Ⅱ</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类放射源、高水平放射性废物、乏燃料丢失、被盗、失控并造成大范围严重辐射污染后果；</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（2）放射性同位素和射线装置失控导致</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3</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人以上（含</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3</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人）急性死亡；</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（3）放射性物质泄漏，造成大范围（江河流域、水源等）放射性污染；</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（4）涉核航天器在我市</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行政区域</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内坠落造成环境放射性污染事故。</w:t>
      </w:r>
    </w:p>
    <w:p>
      <w:pPr>
        <w:pStyle w:val="3"/>
        <w:widowControl/>
        <w:spacing w:beforeAutospacing="0" w:afterAutospacing="0" w:line="360" w:lineRule="atLeast"/>
        <w:ind w:firstLine="560"/>
        <w:jc w:val="both"/>
        <w:rPr>
          <w:rFonts w:hint="default"/>
          <w:b w:val="0"/>
          <w:bCs w:val="0"/>
          <w:color w:val="000000" w:themeColor="text1"/>
          <w:sz w:val="24"/>
          <w:szCs w:val="24"/>
          <w14:textFill>
            <w14:solidFill>
              <w14:schemeClr w14:val="tx1"/>
            </w14:solidFill>
          </w14:textFill>
        </w:rPr>
      </w:pPr>
      <w:bookmarkStart w:id="44" w:name="_Toc25234_WPSOffice_Level1"/>
      <w:bookmarkEnd w:id="44"/>
      <w:bookmarkStart w:id="45" w:name="_Toc112226309"/>
      <w:bookmarkEnd w:id="45"/>
      <w:bookmarkStart w:id="46" w:name="_Toc80951486"/>
      <w:bookmarkStart w:id="47" w:name="_Toc527089634_WPSOffice_Level1"/>
      <w:bookmarkStart w:id="48" w:name="_Toc948836596_WPSOffice_Level1"/>
      <w:r>
        <w:rPr>
          <w:rFonts w:hint="default" w:ascii="Times New Roman" w:hAnsi="Times New Roman"/>
          <w:b w:val="0"/>
          <w:bCs w:val="0"/>
          <w:color w:val="000000" w:themeColor="text1"/>
          <w:sz w:val="28"/>
          <w:szCs w:val="28"/>
          <w:shd w:val="clear" w:color="auto" w:fill="FFFFFF"/>
          <w14:textFill>
            <w14:solidFill>
              <w14:schemeClr w14:val="tx1"/>
            </w14:solidFill>
          </w14:textFill>
        </w:rPr>
        <w:t>2.2</w:t>
      </w:r>
      <w:bookmarkEnd w:id="46"/>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重大辐射事故（</w:t>
      </w:r>
      <w:r>
        <w:rPr>
          <w:rFonts w:cs="宋体"/>
          <w:b w:val="0"/>
          <w:bCs w:val="0"/>
          <w:color w:val="000000" w:themeColor="text1"/>
          <w:sz w:val="28"/>
          <w:szCs w:val="28"/>
          <w:shd w:val="clear" w:color="auto" w:fill="FFFFFF"/>
          <w14:textFill>
            <w14:solidFill>
              <w14:schemeClr w14:val="tx1"/>
            </w14:solidFill>
          </w14:textFill>
        </w:rPr>
        <w:t>Ⅱ</w:t>
      </w:r>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级）</w:t>
      </w:r>
      <w:bookmarkEnd w:id="47"/>
      <w:bookmarkEnd w:id="48"/>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凡符合下列情形之一的，为重大辐射事故：</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1</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hint="eastAsia" w:ascii="宋体" w:hAnsi="宋体" w:eastAsia="宋体" w:cs="宋体"/>
          <w:color w:val="000000" w:themeColor="text1"/>
          <w:kern w:val="0"/>
          <w:sz w:val="28"/>
          <w:szCs w:val="28"/>
          <w:shd w:val="clear" w:color="auto" w:fill="FFFFFF"/>
          <w14:textFill>
            <w14:solidFill>
              <w14:schemeClr w14:val="tx1"/>
            </w14:solidFill>
          </w14:textFill>
        </w:rPr>
        <w:t>Ⅰ</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类、</w:t>
      </w:r>
      <w:r>
        <w:rPr>
          <w:rFonts w:hint="eastAsia" w:ascii="宋体" w:hAnsi="宋体" w:eastAsia="宋体" w:cs="宋体"/>
          <w:color w:val="000000" w:themeColor="text1"/>
          <w:kern w:val="0"/>
          <w:sz w:val="28"/>
          <w:szCs w:val="28"/>
          <w:shd w:val="clear" w:color="auto" w:fill="FFFFFF"/>
          <w14:textFill>
            <w14:solidFill>
              <w14:schemeClr w14:val="tx1"/>
            </w14:solidFill>
          </w14:textFill>
        </w:rPr>
        <w:t>Ⅱ</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类放射源、高水平放射性废物、乏燃料丢失、被盗或失控；</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）放射性同位素和射线装置失控导致</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人以下（含</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人）急性死亡或者</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10</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人以上（含</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10</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人）急性重度放射病、局部器官残疾；</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3</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）放射性物品泄漏，造成局部环境放射性污染事故。</w:t>
      </w:r>
    </w:p>
    <w:p>
      <w:pPr>
        <w:pStyle w:val="3"/>
        <w:widowControl/>
        <w:spacing w:beforeAutospacing="0" w:afterAutospacing="0" w:line="360" w:lineRule="atLeast"/>
        <w:ind w:firstLine="560"/>
        <w:jc w:val="both"/>
        <w:rPr>
          <w:rFonts w:hint="default"/>
          <w:b w:val="0"/>
          <w:bCs w:val="0"/>
          <w:color w:val="000000" w:themeColor="text1"/>
          <w:sz w:val="24"/>
          <w:szCs w:val="24"/>
          <w14:textFill>
            <w14:solidFill>
              <w14:schemeClr w14:val="tx1"/>
            </w14:solidFill>
          </w14:textFill>
        </w:rPr>
      </w:pPr>
      <w:bookmarkStart w:id="49" w:name="_Toc112226310"/>
      <w:bookmarkEnd w:id="49"/>
      <w:bookmarkStart w:id="50" w:name="_Toc21455_WPSOffice_Level1"/>
      <w:bookmarkEnd w:id="50"/>
      <w:bookmarkStart w:id="51" w:name="_Toc80951487"/>
      <w:bookmarkStart w:id="52" w:name="_Toc1624056287_WPSOffice_Level1"/>
      <w:bookmarkStart w:id="53" w:name="_Toc2097654383_WPSOffice_Level1"/>
      <w:r>
        <w:rPr>
          <w:rFonts w:hint="default" w:ascii="Times New Roman" w:hAnsi="Times New Roman"/>
          <w:b w:val="0"/>
          <w:bCs w:val="0"/>
          <w:color w:val="000000" w:themeColor="text1"/>
          <w:sz w:val="28"/>
          <w:szCs w:val="28"/>
          <w:shd w:val="clear" w:color="auto" w:fill="FFFFFF"/>
          <w14:textFill>
            <w14:solidFill>
              <w14:schemeClr w14:val="tx1"/>
            </w14:solidFill>
          </w14:textFill>
        </w:rPr>
        <w:t>2.3</w:t>
      </w:r>
      <w:bookmarkEnd w:id="51"/>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较大辐射事故（</w:t>
      </w:r>
      <w:r>
        <w:rPr>
          <w:rFonts w:cs="宋体"/>
          <w:b w:val="0"/>
          <w:bCs w:val="0"/>
          <w:color w:val="000000" w:themeColor="text1"/>
          <w:sz w:val="28"/>
          <w:szCs w:val="28"/>
          <w:shd w:val="clear" w:color="auto" w:fill="FFFFFF"/>
          <w14:textFill>
            <w14:solidFill>
              <w14:schemeClr w14:val="tx1"/>
            </w14:solidFill>
          </w14:textFill>
        </w:rPr>
        <w:t>Ⅲ</w:t>
      </w:r>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级）</w:t>
      </w:r>
      <w:bookmarkEnd w:id="52"/>
      <w:bookmarkEnd w:id="53"/>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凡符合下列情形之一的，为较大辐射事故：</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1</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hint="eastAsia" w:ascii="宋体" w:hAnsi="宋体" w:eastAsia="宋体" w:cs="宋体"/>
          <w:color w:val="000000" w:themeColor="text1"/>
          <w:kern w:val="0"/>
          <w:sz w:val="28"/>
          <w:szCs w:val="28"/>
          <w:shd w:val="clear" w:color="auto" w:fill="FFFFFF"/>
          <w14:textFill>
            <w14:solidFill>
              <w14:schemeClr w14:val="tx1"/>
            </w14:solidFill>
          </w14:textFill>
        </w:rPr>
        <w:t>Ⅲ</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类放射源、中等水平放射性废物丢失、被盗或失控；</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）放射性同位素和射线装置失控导致</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9</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人以下（含</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9</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人）急性重度放射病、局部器官残疾。</w:t>
      </w:r>
    </w:p>
    <w:p>
      <w:pPr>
        <w:pStyle w:val="3"/>
        <w:widowControl/>
        <w:spacing w:beforeAutospacing="0" w:afterAutospacing="0" w:line="360" w:lineRule="atLeast"/>
        <w:ind w:firstLine="560"/>
        <w:jc w:val="both"/>
        <w:rPr>
          <w:rFonts w:hint="default"/>
          <w:b w:val="0"/>
          <w:bCs w:val="0"/>
          <w:color w:val="000000" w:themeColor="text1"/>
          <w:sz w:val="24"/>
          <w:szCs w:val="24"/>
          <w14:textFill>
            <w14:solidFill>
              <w14:schemeClr w14:val="tx1"/>
            </w14:solidFill>
          </w14:textFill>
        </w:rPr>
      </w:pPr>
      <w:bookmarkStart w:id="54" w:name="_Toc29303_WPSOffice_Level1"/>
      <w:bookmarkEnd w:id="54"/>
      <w:bookmarkStart w:id="55" w:name="_Toc80951488"/>
      <w:bookmarkEnd w:id="55"/>
      <w:bookmarkStart w:id="56" w:name="_Toc112226311"/>
      <w:bookmarkStart w:id="57" w:name="_Toc1466919786_WPSOffice_Level1"/>
      <w:bookmarkStart w:id="58" w:name="_Toc1575913842_WPSOffice_Level1"/>
      <w:r>
        <w:rPr>
          <w:rFonts w:hint="default" w:ascii="Times New Roman" w:hAnsi="Times New Roman"/>
          <w:b w:val="0"/>
          <w:bCs w:val="0"/>
          <w:color w:val="000000" w:themeColor="text1"/>
          <w:sz w:val="28"/>
          <w:szCs w:val="28"/>
          <w:shd w:val="clear" w:color="auto" w:fill="FFFFFF"/>
          <w14:textFill>
            <w14:solidFill>
              <w14:schemeClr w14:val="tx1"/>
            </w14:solidFill>
          </w14:textFill>
        </w:rPr>
        <w:t>2.4</w:t>
      </w:r>
      <w:bookmarkEnd w:id="56"/>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一般辐射事故（</w:t>
      </w:r>
      <w:r>
        <w:rPr>
          <w:rFonts w:cs="宋体"/>
          <w:b w:val="0"/>
          <w:bCs w:val="0"/>
          <w:color w:val="000000" w:themeColor="text1"/>
          <w:sz w:val="28"/>
          <w:szCs w:val="28"/>
          <w:shd w:val="clear" w:color="auto" w:fill="FFFFFF"/>
          <w14:textFill>
            <w14:solidFill>
              <w14:schemeClr w14:val="tx1"/>
            </w14:solidFill>
          </w14:textFill>
        </w:rPr>
        <w:t>Ⅳ</w:t>
      </w:r>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级）</w:t>
      </w:r>
      <w:bookmarkEnd w:id="57"/>
      <w:bookmarkEnd w:id="58"/>
    </w:p>
    <w:p>
      <w:pPr>
        <w:widowControl/>
        <w:spacing w:line="23" w:lineRule="atLeast"/>
        <w:ind w:firstLine="560"/>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pPr>
      <w:bookmarkStart w:id="59" w:name="_Toc813959752_WPSOffice_Level1"/>
      <w:bookmarkStart w:id="60" w:name="_Toc1910793813_WPSOffice_Level1"/>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（1）IV 类、V 类放射源丢失、被盗、失控；</w:t>
      </w:r>
    </w:p>
    <w:p>
      <w:pPr>
        <w:widowControl/>
        <w:spacing w:line="23" w:lineRule="atLeast"/>
        <w:ind w:firstLine="560"/>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（2）放射性同位素和射线装置失控导致人员受到超过年剂量限值的照射；</w:t>
      </w:r>
    </w:p>
    <w:p>
      <w:pPr>
        <w:widowControl/>
        <w:spacing w:line="23" w:lineRule="atLeast"/>
        <w:ind w:firstLine="560"/>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（3）放射性物质泄漏，造成厂区内或设施内局部辐射污染后果；</w:t>
      </w:r>
    </w:p>
    <w:p>
      <w:pPr>
        <w:widowControl/>
        <w:spacing w:line="23" w:lineRule="atLeast"/>
        <w:ind w:firstLine="560"/>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（4）铀矿、伴生矿等开发利用超标排放，造成环境辐射污染后果；</w:t>
      </w:r>
    </w:p>
    <w:p>
      <w:pPr>
        <w:widowControl/>
        <w:spacing w:line="23" w:lineRule="atLeast"/>
        <w:ind w:firstLine="560"/>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（5）测井用放射源落井，打捞不成功进行封井处理。</w:t>
      </w:r>
    </w:p>
    <w:bookmarkEnd w:id="59"/>
    <w:bookmarkEnd w:id="60"/>
    <w:p>
      <w:pPr>
        <w:pStyle w:val="2"/>
        <w:widowControl/>
        <w:spacing w:before="120" w:beforeAutospacing="0" w:after="120" w:afterAutospacing="0" w:line="405" w:lineRule="atLeast"/>
        <w:jc w:val="both"/>
        <w:rPr>
          <w:rFonts w:hint="default"/>
          <w:b w:val="0"/>
          <w:bCs w:val="0"/>
          <w:color w:val="000000" w:themeColor="text1"/>
          <w:sz w:val="27"/>
          <w:szCs w:val="27"/>
          <w14:textFill>
            <w14:solidFill>
              <w14:schemeClr w14:val="tx1"/>
            </w14:solidFill>
          </w14:textFill>
        </w:rPr>
      </w:pPr>
      <w:bookmarkStart w:id="61" w:name="_Toc112226312"/>
      <w:bookmarkEnd w:id="61"/>
      <w:bookmarkStart w:id="62" w:name="_Toc80951489"/>
      <w:bookmarkEnd w:id="62"/>
      <w:bookmarkStart w:id="63" w:name="_Toc80951454"/>
      <w:bookmarkStart w:id="64" w:name="_Toc663018260_WPSOffice_Level1"/>
      <w:bookmarkStart w:id="65" w:name="_Toc567767983_WPSOffice_Level1"/>
      <w:r>
        <w:rPr>
          <w:rFonts w:hint="default" w:ascii="Times New Roman" w:hAnsi="Times New Roman"/>
          <w:color w:val="000000" w:themeColor="text1"/>
          <w:sz w:val="32"/>
          <w:szCs w:val="32"/>
          <w:shd w:val="clear" w:color="auto" w:fill="FFFFFF"/>
          <w14:textFill>
            <w14:solidFill>
              <w14:schemeClr w14:val="tx1"/>
            </w14:solidFill>
          </w14:textFill>
        </w:rPr>
        <w:t>3</w:t>
      </w:r>
      <w:bookmarkEnd w:id="63"/>
      <w:r>
        <w:rPr>
          <w:rFonts w:hint="default" w:ascii="仿宋_GB2312" w:eastAsia="仿宋_GB2312" w:cs="仿宋_GB2312"/>
          <w:color w:val="000000" w:themeColor="text1"/>
          <w:sz w:val="32"/>
          <w:szCs w:val="32"/>
          <w:shd w:val="clear" w:color="auto" w:fill="FFFFFF"/>
          <w14:textFill>
            <w14:solidFill>
              <w14:schemeClr w14:val="tx1"/>
            </w14:solidFill>
          </w14:textFill>
        </w:rPr>
        <w:t>组织体系</w:t>
      </w:r>
      <w:bookmarkEnd w:id="64"/>
      <w:bookmarkEnd w:id="65"/>
    </w:p>
    <w:p>
      <w:pPr>
        <w:widowControl/>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市辐射事故应急指挥体系由领导机构、办事机构、应急救援队伍、专家咨询机构组成。</w:t>
      </w:r>
    </w:p>
    <w:p>
      <w:pPr>
        <w:pStyle w:val="3"/>
        <w:widowControl/>
        <w:spacing w:beforeAutospacing="0" w:afterAutospacing="0" w:line="360" w:lineRule="atLeast"/>
        <w:ind w:firstLine="560"/>
        <w:jc w:val="both"/>
        <w:rPr>
          <w:rFonts w:hint="default"/>
          <w:b w:val="0"/>
          <w:bCs w:val="0"/>
          <w:color w:val="000000" w:themeColor="text1"/>
          <w:sz w:val="24"/>
          <w:szCs w:val="24"/>
          <w14:textFill>
            <w14:solidFill>
              <w14:schemeClr w14:val="tx1"/>
            </w14:solidFill>
          </w14:textFill>
        </w:rPr>
      </w:pPr>
      <w:bookmarkStart w:id="66" w:name="_Toc80951490"/>
      <w:bookmarkEnd w:id="66"/>
      <w:bookmarkStart w:id="67" w:name="_Toc112226313"/>
      <w:bookmarkEnd w:id="67"/>
      <w:bookmarkStart w:id="68" w:name="_Toc25557_WPSOffice_Level1"/>
      <w:bookmarkStart w:id="69" w:name="_Toc1961160160_WPSOffice_Level1"/>
      <w:bookmarkStart w:id="70" w:name="_Toc1417698822_WPSOffice_Level1"/>
      <w:r>
        <w:rPr>
          <w:rFonts w:hint="default" w:ascii="Times New Roman" w:hAnsi="Times New Roman"/>
          <w:b w:val="0"/>
          <w:bCs w:val="0"/>
          <w:color w:val="000000" w:themeColor="text1"/>
          <w:sz w:val="28"/>
          <w:szCs w:val="28"/>
          <w:shd w:val="clear" w:color="auto" w:fill="FFFFFF"/>
          <w14:textFill>
            <w14:solidFill>
              <w14:schemeClr w14:val="tx1"/>
            </w14:solidFill>
          </w14:textFill>
        </w:rPr>
        <w:t>3.1</w:t>
      </w:r>
      <w:bookmarkEnd w:id="68"/>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市辐射事故应急指挥部</w:t>
      </w:r>
      <w:bookmarkEnd w:id="69"/>
      <w:bookmarkEnd w:id="70"/>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市政府设立市辐射事故应急部（以下简称市应急指挥部），</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分管副市长任总指挥，</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市政府分管副秘书长</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和市生态环境局局长和</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事发地辖区内县市区政府、</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经开区</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管委会主要</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负责人</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担任副指挥</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hint="eastAsia" w:ascii="仿宋_GB2312" w:hAnsi="仿宋_GB2312" w:eastAsia="仿宋_GB2312" w:cs="仿宋_GB2312"/>
          <w:color w:val="000000" w:themeColor="text1"/>
          <w:kern w:val="0"/>
          <w:sz w:val="31"/>
          <w:szCs w:val="31"/>
          <w14:textFill>
            <w14:solidFill>
              <w14:schemeClr w14:val="tx1"/>
            </w14:solidFill>
          </w14:textFill>
        </w:rPr>
        <w:t>市</w:t>
      </w:r>
      <w:r>
        <w:rPr>
          <w:rFonts w:ascii="仿宋_GB2312" w:hAnsi="仿宋_GB2312" w:eastAsia="仿宋_GB2312" w:cs="仿宋_GB2312"/>
          <w:color w:val="000000" w:themeColor="text1"/>
          <w:kern w:val="0"/>
          <w:sz w:val="31"/>
          <w:szCs w:val="31"/>
          <w14:textFill>
            <w14:solidFill>
              <w14:schemeClr w14:val="tx1"/>
            </w14:solidFill>
          </w14:textFill>
        </w:rPr>
        <w:t>生态环境</w:t>
      </w:r>
      <w:r>
        <w:rPr>
          <w:rFonts w:hint="eastAsia" w:ascii="仿宋_GB2312" w:hAnsi="仿宋_GB2312" w:eastAsia="仿宋_GB2312" w:cs="仿宋_GB2312"/>
          <w:color w:val="000000" w:themeColor="text1"/>
          <w:kern w:val="0"/>
          <w:sz w:val="31"/>
          <w:szCs w:val="31"/>
          <w14:textFill>
            <w14:solidFill>
              <w14:schemeClr w14:val="tx1"/>
            </w14:solidFill>
          </w14:textFill>
        </w:rPr>
        <w:t>局</w:t>
      </w:r>
      <w:r>
        <w:rPr>
          <w:rFonts w:ascii="仿宋_GB2312" w:hAnsi="仿宋_GB2312" w:eastAsia="仿宋_GB2312" w:cs="仿宋_GB2312"/>
          <w:color w:val="000000" w:themeColor="text1"/>
          <w:kern w:val="0"/>
          <w:sz w:val="31"/>
          <w:szCs w:val="31"/>
          <w14:textFill>
            <w14:solidFill>
              <w14:schemeClr w14:val="tx1"/>
            </w14:solidFill>
          </w14:textFill>
        </w:rPr>
        <w:t>、</w:t>
      </w:r>
      <w:r>
        <w:rPr>
          <w:rFonts w:hint="eastAsia" w:ascii="仿宋_GB2312" w:hAnsi="仿宋_GB2312" w:eastAsia="仿宋_GB2312" w:cs="仿宋_GB2312"/>
          <w:color w:val="000000" w:themeColor="text1"/>
          <w:kern w:val="0"/>
          <w:sz w:val="31"/>
          <w:szCs w:val="31"/>
          <w14:textFill>
            <w14:solidFill>
              <w14:schemeClr w14:val="tx1"/>
            </w14:solidFill>
          </w14:textFill>
        </w:rPr>
        <w:t>市委</w:t>
      </w:r>
      <w:r>
        <w:rPr>
          <w:rFonts w:ascii="仿宋_GB2312" w:hAnsi="仿宋_GB2312" w:eastAsia="仿宋_GB2312" w:cs="仿宋_GB2312"/>
          <w:color w:val="000000" w:themeColor="text1"/>
          <w:kern w:val="0"/>
          <w:sz w:val="31"/>
          <w:szCs w:val="31"/>
          <w14:textFill>
            <w14:solidFill>
              <w14:schemeClr w14:val="tx1"/>
            </w14:solidFill>
          </w14:textFill>
        </w:rPr>
        <w:t>宣传部、</w:t>
      </w:r>
      <w:r>
        <w:rPr>
          <w:rFonts w:hint="eastAsia" w:ascii="仿宋_GB2312" w:hAnsi="仿宋_GB2312" w:eastAsia="仿宋_GB2312" w:cs="仿宋_GB2312"/>
          <w:color w:val="000000" w:themeColor="text1"/>
          <w:kern w:val="0"/>
          <w:sz w:val="31"/>
          <w:szCs w:val="31"/>
          <w14:textFill>
            <w14:solidFill>
              <w14:schemeClr w14:val="tx1"/>
            </w14:solidFill>
          </w14:textFill>
        </w:rPr>
        <w:t>市</w:t>
      </w:r>
      <w:r>
        <w:rPr>
          <w:rFonts w:ascii="仿宋_GB2312" w:hAnsi="仿宋_GB2312" w:eastAsia="仿宋_GB2312" w:cs="仿宋_GB2312"/>
          <w:color w:val="000000" w:themeColor="text1"/>
          <w:kern w:val="0"/>
          <w:sz w:val="31"/>
          <w:szCs w:val="31"/>
          <w14:textFill>
            <w14:solidFill>
              <w14:schemeClr w14:val="tx1"/>
            </w14:solidFill>
          </w14:textFill>
        </w:rPr>
        <w:t>公安</w:t>
      </w:r>
      <w:r>
        <w:rPr>
          <w:rFonts w:hint="eastAsia" w:ascii="仿宋_GB2312" w:hAnsi="仿宋_GB2312" w:eastAsia="仿宋_GB2312" w:cs="仿宋_GB2312"/>
          <w:color w:val="000000" w:themeColor="text1"/>
          <w:kern w:val="0"/>
          <w:sz w:val="31"/>
          <w:szCs w:val="31"/>
          <w14:textFill>
            <w14:solidFill>
              <w14:schemeClr w14:val="tx1"/>
            </w14:solidFill>
          </w14:textFill>
        </w:rPr>
        <w:t>局</w:t>
      </w:r>
      <w:r>
        <w:rPr>
          <w:rFonts w:ascii="仿宋_GB2312" w:hAnsi="仿宋_GB2312" w:eastAsia="仿宋_GB2312" w:cs="仿宋_GB2312"/>
          <w:color w:val="000000" w:themeColor="text1"/>
          <w:kern w:val="0"/>
          <w:sz w:val="31"/>
          <w:szCs w:val="31"/>
          <w14:textFill>
            <w14:solidFill>
              <w14:schemeClr w14:val="tx1"/>
            </w14:solidFill>
          </w14:textFill>
        </w:rPr>
        <w:t>、</w:t>
      </w:r>
      <w:r>
        <w:rPr>
          <w:rFonts w:hint="eastAsia" w:ascii="仿宋_GB2312" w:hAnsi="仿宋_GB2312" w:eastAsia="仿宋_GB2312" w:cs="仿宋_GB2312"/>
          <w:color w:val="000000" w:themeColor="text1"/>
          <w:kern w:val="0"/>
          <w:sz w:val="31"/>
          <w:szCs w:val="31"/>
          <w14:textFill>
            <w14:solidFill>
              <w14:schemeClr w14:val="tx1"/>
            </w14:solidFill>
          </w14:textFill>
        </w:rPr>
        <w:t>市</w:t>
      </w:r>
      <w:r>
        <w:rPr>
          <w:rFonts w:ascii="仿宋_GB2312" w:hAnsi="仿宋_GB2312" w:eastAsia="仿宋_GB2312" w:cs="仿宋_GB2312"/>
          <w:color w:val="000000" w:themeColor="text1"/>
          <w:kern w:val="0"/>
          <w:sz w:val="31"/>
          <w:szCs w:val="31"/>
          <w14:textFill>
            <w14:solidFill>
              <w14:schemeClr w14:val="tx1"/>
            </w14:solidFill>
          </w14:textFill>
        </w:rPr>
        <w:t>财政</w:t>
      </w:r>
      <w:r>
        <w:rPr>
          <w:rFonts w:hint="eastAsia" w:ascii="仿宋_GB2312" w:hAnsi="仿宋_GB2312" w:eastAsia="仿宋_GB2312" w:cs="仿宋_GB2312"/>
          <w:color w:val="000000" w:themeColor="text1"/>
          <w:kern w:val="0"/>
          <w:sz w:val="31"/>
          <w:szCs w:val="31"/>
          <w14:textFill>
            <w14:solidFill>
              <w14:schemeClr w14:val="tx1"/>
            </w14:solidFill>
          </w14:textFill>
        </w:rPr>
        <w:t>局</w:t>
      </w:r>
      <w:r>
        <w:rPr>
          <w:rFonts w:ascii="仿宋_GB2312" w:hAnsi="仿宋_GB2312" w:eastAsia="仿宋_GB2312" w:cs="仿宋_GB2312"/>
          <w:color w:val="000000" w:themeColor="text1"/>
          <w:kern w:val="0"/>
          <w:sz w:val="31"/>
          <w:szCs w:val="31"/>
          <w14:textFill>
            <w14:solidFill>
              <w14:schemeClr w14:val="tx1"/>
            </w14:solidFill>
          </w14:textFill>
        </w:rPr>
        <w:t>、</w:t>
      </w:r>
      <w:r>
        <w:rPr>
          <w:rFonts w:hint="eastAsia" w:ascii="仿宋_GB2312" w:hAnsi="仿宋_GB2312" w:eastAsia="仿宋_GB2312" w:cs="仿宋_GB2312"/>
          <w:color w:val="000000" w:themeColor="text1"/>
          <w:kern w:val="0"/>
          <w:sz w:val="31"/>
          <w:szCs w:val="31"/>
          <w14:textFill>
            <w14:solidFill>
              <w14:schemeClr w14:val="tx1"/>
            </w14:solidFill>
          </w14:textFill>
        </w:rPr>
        <w:t>市交通运输局</w:t>
      </w:r>
      <w:r>
        <w:rPr>
          <w:rFonts w:ascii="仿宋_GB2312" w:hAnsi="仿宋_GB2312" w:eastAsia="仿宋_GB2312" w:cs="仿宋_GB2312"/>
          <w:color w:val="000000" w:themeColor="text1"/>
          <w:kern w:val="0"/>
          <w:sz w:val="31"/>
          <w:szCs w:val="31"/>
          <w14:textFill>
            <w14:solidFill>
              <w14:schemeClr w14:val="tx1"/>
            </w14:solidFill>
          </w14:textFill>
        </w:rPr>
        <w:t>、</w:t>
      </w:r>
      <w:r>
        <w:rPr>
          <w:rFonts w:hint="eastAsia" w:ascii="仿宋_GB2312" w:hAnsi="仿宋_GB2312" w:eastAsia="仿宋_GB2312" w:cs="仿宋_GB2312"/>
          <w:color w:val="000000" w:themeColor="text1"/>
          <w:kern w:val="0"/>
          <w:sz w:val="31"/>
          <w:szCs w:val="31"/>
          <w14:textFill>
            <w14:solidFill>
              <w14:schemeClr w14:val="tx1"/>
            </w14:solidFill>
          </w14:textFill>
        </w:rPr>
        <w:t>市</w:t>
      </w:r>
      <w:r>
        <w:rPr>
          <w:rFonts w:ascii="仿宋_GB2312" w:hAnsi="仿宋_GB2312" w:eastAsia="仿宋_GB2312" w:cs="仿宋_GB2312"/>
          <w:color w:val="000000" w:themeColor="text1"/>
          <w:kern w:val="0"/>
          <w:sz w:val="31"/>
          <w:szCs w:val="31"/>
          <w14:textFill>
            <w14:solidFill>
              <w14:schemeClr w14:val="tx1"/>
            </w14:solidFill>
          </w14:textFill>
        </w:rPr>
        <w:t>卫健委、</w:t>
      </w:r>
      <w:r>
        <w:rPr>
          <w:rFonts w:hint="eastAsia" w:ascii="仿宋_GB2312" w:hAnsi="仿宋_GB2312" w:eastAsia="仿宋_GB2312" w:cs="仿宋_GB2312"/>
          <w:color w:val="000000" w:themeColor="text1"/>
          <w:kern w:val="0"/>
          <w:sz w:val="31"/>
          <w:szCs w:val="31"/>
          <w14:textFill>
            <w14:solidFill>
              <w14:schemeClr w14:val="tx1"/>
            </w14:solidFill>
          </w14:textFill>
        </w:rPr>
        <w:t>市应急管理局</w:t>
      </w:r>
      <w:r>
        <w:rPr>
          <w:rFonts w:ascii="仿宋_GB2312" w:hAnsi="仿宋_GB2312" w:eastAsia="仿宋_GB2312" w:cs="仿宋_GB2312"/>
          <w:color w:val="000000" w:themeColor="text1"/>
          <w:kern w:val="0"/>
          <w:sz w:val="31"/>
          <w:szCs w:val="31"/>
          <w14:textFill>
            <w14:solidFill>
              <w14:schemeClr w14:val="tx1"/>
            </w14:solidFill>
          </w14:textFill>
        </w:rPr>
        <w:t>、</w:t>
      </w:r>
      <w:r>
        <w:rPr>
          <w:rFonts w:hint="eastAsia" w:ascii="仿宋_GB2312" w:hAnsi="仿宋_GB2312" w:eastAsia="仿宋_GB2312" w:cs="仿宋_GB2312"/>
          <w:color w:val="000000" w:themeColor="text1"/>
          <w:kern w:val="0"/>
          <w:sz w:val="31"/>
          <w:szCs w:val="31"/>
          <w14:textFill>
            <w14:solidFill>
              <w14:schemeClr w14:val="tx1"/>
            </w14:solidFill>
          </w14:textFill>
        </w:rPr>
        <w:t>市</w:t>
      </w:r>
      <w:r>
        <w:rPr>
          <w:rFonts w:ascii="仿宋_GB2312" w:hAnsi="仿宋_GB2312" w:eastAsia="仿宋_GB2312" w:cs="仿宋_GB2312"/>
          <w:color w:val="000000" w:themeColor="text1"/>
          <w:kern w:val="0"/>
          <w:sz w:val="31"/>
          <w:szCs w:val="31"/>
          <w14:textFill>
            <w14:solidFill>
              <w14:schemeClr w14:val="tx1"/>
            </w14:solidFill>
          </w14:textFill>
        </w:rPr>
        <w:t>消防救援</w:t>
      </w:r>
      <w:r>
        <w:rPr>
          <w:rFonts w:hint="eastAsia" w:ascii="仿宋_GB2312" w:hAnsi="仿宋_GB2312" w:eastAsia="仿宋_GB2312" w:cs="仿宋_GB2312"/>
          <w:color w:val="000000" w:themeColor="text1"/>
          <w:kern w:val="0"/>
          <w:sz w:val="31"/>
          <w:szCs w:val="31"/>
          <w14:textFill>
            <w14:solidFill>
              <w14:schemeClr w14:val="tx1"/>
            </w14:solidFill>
          </w14:textFill>
        </w:rPr>
        <w:t>支队</w:t>
      </w:r>
      <w:r>
        <w:rPr>
          <w:rFonts w:ascii="仿宋_GB2312" w:hAnsi="仿宋_GB2312" w:eastAsia="仿宋_GB2312" w:cs="仿宋_GB2312"/>
          <w:color w:val="000000" w:themeColor="text1"/>
          <w:kern w:val="0"/>
          <w:sz w:val="31"/>
          <w:szCs w:val="31"/>
          <w14:textFill>
            <w14:solidFill>
              <w14:schemeClr w14:val="tx1"/>
            </w14:solidFill>
          </w14:textFill>
        </w:rPr>
        <w:t>、</w:t>
      </w:r>
      <w:r>
        <w:rPr>
          <w:rFonts w:hint="eastAsia" w:ascii="仿宋_GB2312" w:hAnsi="仿宋_GB2312" w:eastAsia="仿宋_GB2312" w:cs="仿宋_GB2312"/>
          <w:color w:val="000000" w:themeColor="text1"/>
          <w:kern w:val="0"/>
          <w:sz w:val="31"/>
          <w:szCs w:val="31"/>
          <w14:textFill>
            <w14:solidFill>
              <w14:schemeClr w14:val="tx1"/>
            </w14:solidFill>
          </w14:textFill>
        </w:rPr>
        <w:t>各县市区人民政府、经开区管委会为成员单位。</w:t>
      </w:r>
      <w:r>
        <w:rPr>
          <w:rFonts w:ascii="仿宋_GB2312" w:hAnsi="仿宋_GB2312" w:eastAsia="仿宋_GB2312" w:cs="仿宋_GB2312"/>
          <w:color w:val="000000" w:themeColor="text1"/>
          <w:kern w:val="0"/>
          <w:sz w:val="31"/>
          <w:szCs w:val="31"/>
          <w14:textFill>
            <w14:solidFill>
              <w14:schemeClr w14:val="tx1"/>
            </w14:solidFill>
          </w14:textFill>
        </w:rPr>
        <w:t>各成员单位分管负责同志任指挥部成员。经总指挥授权，副总指挥可承担总指挥的应急指挥和管理职责。</w:t>
      </w:r>
    </w:p>
    <w:p>
      <w:pPr>
        <w:widowControl/>
        <w:spacing w:line="23" w:lineRule="atLeast"/>
        <w:ind w:firstLine="560"/>
        <w:rPr>
          <w:color w:val="000000" w:themeColor="text1"/>
          <w14:textFill>
            <w14:solidFill>
              <w14:schemeClr w14:val="tx1"/>
            </w14:solidFill>
          </w14:textFill>
        </w:rPr>
      </w:pP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3.1.1</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市辐射事故应急指挥部职责</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1</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）领导、指挥和协调市各有关部门和单位的应急响应行动；</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）落实或传达市政府和省相关部门的指示、指令；</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3</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）负责向市政府和省相关部门及时报告应急信息，批准向市政府和省相关部门汇报的事故报告和应急工作报告；</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4</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）批准辐射事故响应行动的启动和终止；</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5</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）负责本辖区内辐射事故应急处置工作，组织开展对辖区内辐射事故（除一般辐射事故以外）的应急响应工作。指导、督促辖区内</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县市区</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政府</w:t>
      </w:r>
      <w:r>
        <w:rPr>
          <w:rFonts w:hint="eastAsia" w:ascii="仿宋_GB2312" w:hAnsi="微软雅黑" w:eastAsia="仿宋_GB2312" w:cs="仿宋_GB2312"/>
          <w:color w:val="000000" w:themeColor="text1"/>
          <w:kern w:val="0"/>
          <w:sz w:val="28"/>
          <w:szCs w:val="28"/>
          <w:shd w:val="clear" w:color="auto" w:fill="FFFFFF"/>
          <w:lang w:eastAsia="zh-CN"/>
          <w14:textFill>
            <w14:solidFill>
              <w14:schemeClr w14:val="tx1"/>
            </w14:solidFill>
          </w14:textFill>
        </w:rPr>
        <w:t>、</w:t>
      </w:r>
      <w:r>
        <w:rPr>
          <w:rFonts w:hint="eastAsia" w:ascii="仿宋_GB2312" w:hAnsi="微软雅黑" w:eastAsia="仿宋_GB2312" w:cs="仿宋_GB2312"/>
          <w:color w:val="000000" w:themeColor="text1"/>
          <w:kern w:val="0"/>
          <w:sz w:val="28"/>
          <w:szCs w:val="28"/>
          <w:shd w:val="clear" w:color="auto" w:fill="FFFFFF"/>
          <w:lang w:val="en-US" w:eastAsia="zh-CN"/>
          <w14:textFill>
            <w14:solidFill>
              <w14:schemeClr w14:val="tx1"/>
            </w14:solidFill>
          </w14:textFill>
        </w:rPr>
        <w:t>经开区</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管委会做好应急处置工作，负责外部支援力量的组织、协调，对辖区内</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县市区</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辐射应急工作提供必要的支援；</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6</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）负责或指导辖区内</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县市区</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政府做好信息发布、舆情引导和维稳工作。</w:t>
      </w:r>
    </w:p>
    <w:p>
      <w:pPr>
        <w:widowControl/>
        <w:spacing w:line="23" w:lineRule="atLeast"/>
        <w:ind w:firstLine="560"/>
        <w:rPr>
          <w:color w:val="000000" w:themeColor="text1"/>
          <w14:textFill>
            <w14:solidFill>
              <w14:schemeClr w14:val="tx1"/>
            </w14:solidFill>
          </w14:textFill>
        </w:rPr>
      </w:pP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3.1.2</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市辐射事故应急指挥部成员单位职责</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1</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市生态环境局：负责辐射事故定性定级和调查处理；组织协调事故处置情况的实时报告；协助公安部门监控追缴丢失、被盗的放射性同位素；负责制定、修订市级辐射事故应急预案；增强能力建设，落实辐射事故应急准备，提高应急响应能力；开展辐射事故应急培训、演练；</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组织</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开展辐射事故应急相关的公众宣传、信息公开和舆论引导工作；建立应急专家咨询组并组织专家组成员开展应急救援咨询服务工作。</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）市委宣传部：负责组织辐射事故的宣传报道和舆论引导工作；配合指挥部或指导县市区人民政府发布信息；组织协调新闻媒体做好宣传报道，加强互联网信息监测和舆情引导。</w:t>
      </w:r>
    </w:p>
    <w:p>
      <w:pPr>
        <w:widowControl/>
        <w:ind w:firstLine="560" w:firstLineChars="200"/>
        <w:jc w:val="left"/>
        <w:rPr>
          <w:rFonts w:ascii="仿宋_GB2312" w:hAnsi="仿宋_GB2312" w:eastAsia="仿宋_GB2312" w:cs="仿宋_GB2312"/>
          <w:color w:val="000000" w:themeColor="text1"/>
          <w:kern w:val="0"/>
          <w:sz w:val="31"/>
          <w:szCs w:val="31"/>
          <w14:textFill>
            <w14:solidFill>
              <w14:schemeClr w14:val="tx1"/>
            </w14:solidFill>
          </w14:textFill>
        </w:rPr>
      </w:pPr>
      <w:r>
        <w:rPr>
          <w:rFonts w:ascii="仿宋_GB2312" w:hAnsi="微软雅黑" w:eastAsia="仿宋_GB2312" w:cs="仿宋_GB2312"/>
          <w:color w:val="000000" w:themeColor="text1"/>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sz w:val="28"/>
          <w:szCs w:val="28"/>
          <w:shd w:val="clear" w:color="auto" w:fill="FFFFFF"/>
          <w14:textFill>
            <w14:solidFill>
              <w14:schemeClr w14:val="tx1"/>
            </w14:solidFill>
          </w14:textFill>
        </w:rPr>
        <w:t>3</w:t>
      </w:r>
      <w:r>
        <w:rPr>
          <w:rFonts w:ascii="仿宋_GB2312" w:hAnsi="微软雅黑" w:eastAsia="仿宋_GB2312" w:cs="仿宋_GB2312"/>
          <w:color w:val="000000" w:themeColor="text1"/>
          <w:sz w:val="28"/>
          <w:szCs w:val="28"/>
          <w:shd w:val="clear" w:color="auto" w:fill="FFFFFF"/>
          <w14:textFill>
            <w14:solidFill>
              <w14:schemeClr w14:val="tx1"/>
            </w14:solidFill>
          </w14:textFill>
        </w:rPr>
        <w:t>）</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市公安局：负责指导、协调事故发生地公安机关执行现场警戒和交通管制等任务，维护现场治安秩序；组织打击辐射事故信息造谣等违法行为；负责丢</w:t>
      </w:r>
      <w:r>
        <w:rPr>
          <w:rFonts w:ascii="仿宋_GB2312" w:hAnsi="仿宋_GB2312" w:eastAsia="仿宋_GB2312" w:cs="仿宋_GB2312"/>
          <w:color w:val="000000" w:themeColor="text1"/>
          <w:kern w:val="0"/>
          <w:sz w:val="31"/>
          <w:szCs w:val="31"/>
          <w14:textFill>
            <w14:solidFill>
              <w14:schemeClr w14:val="tx1"/>
            </w14:solidFill>
          </w14:textFill>
        </w:rPr>
        <w:t>失、被盗放射源的立案侦查和追缴；参与辐射事故的应急处置行动和事故调查处理等工作。</w:t>
      </w:r>
    </w:p>
    <w:p>
      <w:pPr>
        <w:widowControl/>
        <w:ind w:firstLine="620" w:firstLineChars="200"/>
        <w:jc w:val="left"/>
        <w:rPr>
          <w:rFonts w:ascii="仿宋_GB2312" w:hAnsi="仿宋_GB2312" w:eastAsia="仿宋_GB2312" w:cs="仿宋_GB2312"/>
          <w:color w:val="000000" w:themeColor="text1"/>
          <w:kern w:val="0"/>
          <w:sz w:val="31"/>
          <w:szCs w:val="31"/>
          <w14:textFill>
            <w14:solidFill>
              <w14:schemeClr w14:val="tx1"/>
            </w14:solidFill>
          </w14:textFill>
        </w:rPr>
      </w:pPr>
      <w:r>
        <w:rPr>
          <w:rFonts w:hint="eastAsia" w:ascii="仿宋_GB2312" w:hAnsi="仿宋_GB2312" w:eastAsia="仿宋_GB2312" w:cs="仿宋_GB2312"/>
          <w:color w:val="000000" w:themeColor="text1"/>
          <w:kern w:val="0"/>
          <w:sz w:val="31"/>
          <w:szCs w:val="31"/>
          <w14:textFill>
            <w14:solidFill>
              <w14:schemeClr w14:val="tx1"/>
            </w14:solidFill>
          </w14:textFill>
        </w:rPr>
        <w:t>（4）市交通运输局</w:t>
      </w:r>
      <w:r>
        <w:rPr>
          <w:rFonts w:ascii="仿宋_GB2312" w:hAnsi="仿宋_GB2312" w:eastAsia="仿宋_GB2312" w:cs="仿宋_GB2312"/>
          <w:color w:val="000000" w:themeColor="text1"/>
          <w:kern w:val="0"/>
          <w:sz w:val="31"/>
          <w:szCs w:val="31"/>
          <w14:textFill>
            <w14:solidFill>
              <w14:schemeClr w14:val="tx1"/>
            </w14:solidFill>
          </w14:textFill>
        </w:rPr>
        <w:t>：负责指导事故发生地交通运输部门做好保障应急救援通道相关公路、水路的畅通；参与放射性物品运输辐射事故的应急处置和事故调查处理等工作</w:t>
      </w:r>
      <w:r>
        <w:rPr>
          <w:rFonts w:hint="eastAsia" w:ascii="仿宋_GB2312" w:hAnsi="仿宋_GB2312" w:eastAsia="仿宋_GB2312" w:cs="仿宋_GB2312"/>
          <w:color w:val="000000" w:themeColor="text1"/>
          <w:kern w:val="0"/>
          <w:sz w:val="31"/>
          <w:szCs w:val="31"/>
          <w14:textFill>
            <w14:solidFill>
              <w14:schemeClr w14:val="tx1"/>
            </w14:solidFill>
          </w14:textFill>
        </w:rPr>
        <w:t>。</w:t>
      </w:r>
    </w:p>
    <w:p>
      <w:pPr>
        <w:pStyle w:val="7"/>
        <w:widowControl/>
        <w:spacing w:line="23" w:lineRule="atLeast"/>
        <w:ind w:firstLine="560"/>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hint="eastAsia" w:ascii="Times New Roman" w:hAnsi="Times New Roman" w:eastAsia="微软雅黑" w:cs="Times New Roman"/>
          <w:color w:val="000000" w:themeColor="text1"/>
          <w:kern w:val="0"/>
          <w:sz w:val="28"/>
          <w:szCs w:val="28"/>
          <w:shd w:val="clear" w:color="auto" w:fill="FFFFFF"/>
          <w14:textFill>
            <w14:solidFill>
              <w14:schemeClr w14:val="tx1"/>
            </w14:solidFill>
          </w14:textFill>
        </w:rPr>
        <w:t>5</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）市卫生健康委：负责辐射事故现场卫生应急处置；负责或指导受辐射伤害人员的医疗救治；负责或指导可能受到辐射伤害的人员健康影响评估；</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配合</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辐射事故应急相关的公众宣传；参与辐射事故其他相关应急处置行动。</w:t>
      </w:r>
    </w:p>
    <w:p>
      <w:pPr>
        <w:pStyle w:val="7"/>
        <w:widowControl/>
        <w:spacing w:line="23" w:lineRule="atLeast"/>
        <w:ind w:firstLine="560"/>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（6）</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市应急管理局：</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协助开展应急响应和处置，组织统筹、协调综合性应急救援队伍参与辐射应急响应，参加辐射事故调查与总结评估。</w:t>
      </w:r>
    </w:p>
    <w:p>
      <w:pPr>
        <w:pStyle w:val="7"/>
        <w:widowControl/>
        <w:spacing w:line="23" w:lineRule="atLeast"/>
        <w:ind w:firstLine="560"/>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（7）市</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消防救援</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支队</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：在相关行业专家指导下，参与辐射事故应急救援工作。</w:t>
      </w:r>
    </w:p>
    <w:p>
      <w:pPr>
        <w:pStyle w:val="7"/>
        <w:widowControl/>
        <w:spacing w:line="23" w:lineRule="atLeast"/>
        <w:ind w:firstLine="560"/>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（8）市财政局：</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负责辐射事故的应急准备、应急响应、应急物资储备、应急监测及救援队伍能力建设、应急演练等经费保障</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w:t>
      </w:r>
    </w:p>
    <w:p>
      <w:pPr>
        <w:pStyle w:val="7"/>
        <w:widowControl/>
        <w:spacing w:line="23" w:lineRule="atLeast"/>
        <w:ind w:firstLine="560"/>
        <w:rPr>
          <w:color w:val="000000" w:themeColor="text1"/>
          <w14:textFill>
            <w14:solidFill>
              <w14:schemeClr w14:val="tx1"/>
            </w14:solidFill>
          </w14:textFill>
        </w:rPr>
      </w:pP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（9）各县市区</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人民政府、</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经开区</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管委会</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建立应急机构和相应的工作机制，负责</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辖区</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内一般辐射事故的应急处置工作；负责制定</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辖区</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内辐射事故应急预案，并与本预案有效衔接；落实执行市人民政府的指示、指令。</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根据辐射事故应急处置行动需要，本预案未规定职责的其他有关部门和单位按照市辐射事故应急指挥部的要求开展相应工作。</w:t>
      </w:r>
    </w:p>
    <w:p>
      <w:pPr>
        <w:pStyle w:val="3"/>
        <w:widowControl/>
        <w:spacing w:beforeAutospacing="0" w:afterAutospacing="0" w:line="360" w:lineRule="atLeast"/>
        <w:ind w:firstLine="560"/>
        <w:jc w:val="both"/>
        <w:rPr>
          <w:rFonts w:hint="default"/>
          <w:b w:val="0"/>
          <w:bCs w:val="0"/>
          <w:color w:val="000000" w:themeColor="text1"/>
          <w:sz w:val="24"/>
          <w:szCs w:val="24"/>
          <w14:textFill>
            <w14:solidFill>
              <w14:schemeClr w14:val="tx1"/>
            </w14:solidFill>
          </w14:textFill>
        </w:rPr>
      </w:pPr>
      <w:bookmarkStart w:id="71" w:name="_Toc112226314"/>
      <w:bookmarkEnd w:id="71"/>
      <w:bookmarkStart w:id="72" w:name="_Toc1129669957_WPSOffice_Level1"/>
      <w:bookmarkStart w:id="73" w:name="_Toc1249651624_WPSOffice_Level1"/>
      <w:r>
        <w:rPr>
          <w:rFonts w:hint="default" w:ascii="Times New Roman" w:hAnsi="Times New Roman"/>
          <w:b w:val="0"/>
          <w:bCs w:val="0"/>
          <w:color w:val="000000" w:themeColor="text1"/>
          <w:sz w:val="28"/>
          <w:szCs w:val="28"/>
          <w:shd w:val="clear" w:color="auto" w:fill="FFFFFF"/>
          <w14:textFill>
            <w14:solidFill>
              <w14:schemeClr w14:val="tx1"/>
            </w14:solidFill>
          </w14:textFill>
        </w:rPr>
        <w:t>3.2</w:t>
      </w:r>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市辐射事故应急办公室</w:t>
      </w:r>
      <w:bookmarkEnd w:id="72"/>
      <w:bookmarkEnd w:id="73"/>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市辐射事故应急指挥部下设市辐射事故应急办公室（以下简称</w:t>
      </w:r>
      <w:r>
        <w:rPr>
          <w:rFonts w:hint="eastAsia" w:ascii="仿宋_GB2312" w:hAnsi="微软雅黑" w:eastAsia="仿宋_GB2312" w:cs="仿宋_GB2312"/>
          <w:color w:val="000000" w:themeColor="text1"/>
          <w:kern w:val="0"/>
          <w:sz w:val="28"/>
          <w:szCs w:val="28"/>
          <w:shd w:val="clear" w:color="auto" w:fill="FFFFFF"/>
          <w:lang w:eastAsia="zh-CN"/>
          <w14:textFill>
            <w14:solidFill>
              <w14:schemeClr w14:val="tx1"/>
            </w14:solidFill>
          </w14:textFill>
        </w:rPr>
        <w:t>“</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市辐射应急办</w:t>
      </w:r>
      <w:r>
        <w:rPr>
          <w:rFonts w:hint="eastAsia" w:ascii="仿宋_GB2312" w:hAnsi="微软雅黑" w:eastAsia="仿宋_GB2312" w:cs="仿宋_GB2312"/>
          <w:color w:val="000000" w:themeColor="text1"/>
          <w:kern w:val="0"/>
          <w:sz w:val="28"/>
          <w:szCs w:val="28"/>
          <w:shd w:val="clear" w:color="auto" w:fill="FFFFFF"/>
          <w:lang w:eastAsia="zh-CN"/>
          <w14:textFill>
            <w14:solidFill>
              <w14:schemeClr w14:val="tx1"/>
            </w14:solidFill>
          </w14:textFill>
        </w:rPr>
        <w:t>”</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市生态环境局分管负责同志担任办公室主任，成员由</w:t>
      </w:r>
      <w:r>
        <w:rPr>
          <w:rFonts w:hint="eastAsia" w:ascii="仿宋_GB2312" w:hAnsi="仿宋_GB2312" w:eastAsia="仿宋_GB2312" w:cs="仿宋_GB2312"/>
          <w:color w:val="000000" w:themeColor="text1"/>
          <w:kern w:val="0"/>
          <w:sz w:val="31"/>
          <w:szCs w:val="31"/>
          <w14:textFill>
            <w14:solidFill>
              <w14:schemeClr w14:val="tx1"/>
            </w14:solidFill>
          </w14:textFill>
        </w:rPr>
        <w:t>市</w:t>
      </w:r>
      <w:r>
        <w:rPr>
          <w:rFonts w:ascii="仿宋_GB2312" w:hAnsi="仿宋_GB2312" w:eastAsia="仿宋_GB2312" w:cs="仿宋_GB2312"/>
          <w:color w:val="000000" w:themeColor="text1"/>
          <w:kern w:val="0"/>
          <w:sz w:val="31"/>
          <w:szCs w:val="31"/>
          <w14:textFill>
            <w14:solidFill>
              <w14:schemeClr w14:val="tx1"/>
            </w14:solidFill>
          </w14:textFill>
        </w:rPr>
        <w:t>生态环境</w:t>
      </w:r>
      <w:r>
        <w:rPr>
          <w:rFonts w:hint="eastAsia" w:ascii="仿宋_GB2312" w:hAnsi="仿宋_GB2312" w:eastAsia="仿宋_GB2312" w:cs="仿宋_GB2312"/>
          <w:color w:val="000000" w:themeColor="text1"/>
          <w:kern w:val="0"/>
          <w:sz w:val="31"/>
          <w:szCs w:val="31"/>
          <w14:textFill>
            <w14:solidFill>
              <w14:schemeClr w14:val="tx1"/>
            </w14:solidFill>
          </w14:textFill>
        </w:rPr>
        <w:t>局</w:t>
      </w:r>
      <w:r>
        <w:rPr>
          <w:rFonts w:ascii="仿宋_GB2312" w:hAnsi="仿宋_GB2312" w:eastAsia="仿宋_GB2312" w:cs="仿宋_GB2312"/>
          <w:color w:val="000000" w:themeColor="text1"/>
          <w:kern w:val="0"/>
          <w:sz w:val="31"/>
          <w:szCs w:val="31"/>
          <w14:textFill>
            <w14:solidFill>
              <w14:schemeClr w14:val="tx1"/>
            </w14:solidFill>
          </w14:textFill>
        </w:rPr>
        <w:t>、</w:t>
      </w:r>
      <w:r>
        <w:rPr>
          <w:rFonts w:hint="eastAsia" w:ascii="仿宋_GB2312" w:hAnsi="仿宋_GB2312" w:eastAsia="仿宋_GB2312" w:cs="仿宋_GB2312"/>
          <w:color w:val="000000" w:themeColor="text1"/>
          <w:kern w:val="0"/>
          <w:sz w:val="31"/>
          <w:szCs w:val="31"/>
          <w14:textFill>
            <w14:solidFill>
              <w14:schemeClr w14:val="tx1"/>
            </w14:solidFill>
          </w14:textFill>
        </w:rPr>
        <w:t>市委</w:t>
      </w:r>
      <w:r>
        <w:rPr>
          <w:rFonts w:ascii="仿宋_GB2312" w:hAnsi="仿宋_GB2312" w:eastAsia="仿宋_GB2312" w:cs="仿宋_GB2312"/>
          <w:color w:val="000000" w:themeColor="text1"/>
          <w:kern w:val="0"/>
          <w:sz w:val="31"/>
          <w:szCs w:val="31"/>
          <w14:textFill>
            <w14:solidFill>
              <w14:schemeClr w14:val="tx1"/>
            </w14:solidFill>
          </w14:textFill>
        </w:rPr>
        <w:t>宣传部、</w:t>
      </w:r>
      <w:r>
        <w:rPr>
          <w:rFonts w:hint="eastAsia" w:ascii="仿宋_GB2312" w:hAnsi="仿宋_GB2312" w:eastAsia="仿宋_GB2312" w:cs="仿宋_GB2312"/>
          <w:color w:val="000000" w:themeColor="text1"/>
          <w:kern w:val="0"/>
          <w:sz w:val="31"/>
          <w:szCs w:val="31"/>
          <w14:textFill>
            <w14:solidFill>
              <w14:schemeClr w14:val="tx1"/>
            </w14:solidFill>
          </w14:textFill>
        </w:rPr>
        <w:t>市</w:t>
      </w:r>
      <w:r>
        <w:rPr>
          <w:rFonts w:ascii="仿宋_GB2312" w:hAnsi="仿宋_GB2312" w:eastAsia="仿宋_GB2312" w:cs="仿宋_GB2312"/>
          <w:color w:val="000000" w:themeColor="text1"/>
          <w:kern w:val="0"/>
          <w:sz w:val="31"/>
          <w:szCs w:val="31"/>
          <w14:textFill>
            <w14:solidFill>
              <w14:schemeClr w14:val="tx1"/>
            </w14:solidFill>
          </w14:textFill>
        </w:rPr>
        <w:t>公安</w:t>
      </w:r>
      <w:r>
        <w:rPr>
          <w:rFonts w:hint="eastAsia" w:ascii="仿宋_GB2312" w:hAnsi="仿宋_GB2312" w:eastAsia="仿宋_GB2312" w:cs="仿宋_GB2312"/>
          <w:color w:val="000000" w:themeColor="text1"/>
          <w:kern w:val="0"/>
          <w:sz w:val="31"/>
          <w:szCs w:val="31"/>
          <w14:textFill>
            <w14:solidFill>
              <w14:schemeClr w14:val="tx1"/>
            </w14:solidFill>
          </w14:textFill>
        </w:rPr>
        <w:t>局</w:t>
      </w:r>
      <w:r>
        <w:rPr>
          <w:rFonts w:ascii="仿宋_GB2312" w:hAnsi="仿宋_GB2312" w:eastAsia="仿宋_GB2312" w:cs="仿宋_GB2312"/>
          <w:color w:val="000000" w:themeColor="text1"/>
          <w:kern w:val="0"/>
          <w:sz w:val="31"/>
          <w:szCs w:val="31"/>
          <w14:textFill>
            <w14:solidFill>
              <w14:schemeClr w14:val="tx1"/>
            </w14:solidFill>
          </w14:textFill>
        </w:rPr>
        <w:t>、</w:t>
      </w:r>
      <w:r>
        <w:rPr>
          <w:rFonts w:hint="eastAsia" w:ascii="仿宋_GB2312" w:hAnsi="仿宋_GB2312" w:eastAsia="仿宋_GB2312" w:cs="仿宋_GB2312"/>
          <w:color w:val="000000" w:themeColor="text1"/>
          <w:kern w:val="0"/>
          <w:sz w:val="31"/>
          <w:szCs w:val="31"/>
          <w14:textFill>
            <w14:solidFill>
              <w14:schemeClr w14:val="tx1"/>
            </w14:solidFill>
          </w14:textFill>
        </w:rPr>
        <w:t>市</w:t>
      </w:r>
      <w:r>
        <w:rPr>
          <w:rFonts w:ascii="仿宋_GB2312" w:hAnsi="仿宋_GB2312" w:eastAsia="仿宋_GB2312" w:cs="仿宋_GB2312"/>
          <w:color w:val="000000" w:themeColor="text1"/>
          <w:kern w:val="0"/>
          <w:sz w:val="31"/>
          <w:szCs w:val="31"/>
          <w14:textFill>
            <w14:solidFill>
              <w14:schemeClr w14:val="tx1"/>
            </w14:solidFill>
          </w14:textFill>
        </w:rPr>
        <w:t>财政</w:t>
      </w:r>
      <w:r>
        <w:rPr>
          <w:rFonts w:hint="eastAsia" w:ascii="仿宋_GB2312" w:hAnsi="仿宋_GB2312" w:eastAsia="仿宋_GB2312" w:cs="仿宋_GB2312"/>
          <w:color w:val="000000" w:themeColor="text1"/>
          <w:kern w:val="0"/>
          <w:sz w:val="31"/>
          <w:szCs w:val="31"/>
          <w14:textFill>
            <w14:solidFill>
              <w14:schemeClr w14:val="tx1"/>
            </w14:solidFill>
          </w14:textFill>
        </w:rPr>
        <w:t>局</w:t>
      </w:r>
      <w:r>
        <w:rPr>
          <w:rFonts w:ascii="仿宋_GB2312" w:hAnsi="仿宋_GB2312" w:eastAsia="仿宋_GB2312" w:cs="仿宋_GB2312"/>
          <w:color w:val="000000" w:themeColor="text1"/>
          <w:kern w:val="0"/>
          <w:sz w:val="31"/>
          <w:szCs w:val="31"/>
          <w14:textFill>
            <w14:solidFill>
              <w14:schemeClr w14:val="tx1"/>
            </w14:solidFill>
          </w14:textFill>
        </w:rPr>
        <w:t>、</w:t>
      </w:r>
      <w:r>
        <w:rPr>
          <w:rFonts w:hint="eastAsia" w:ascii="仿宋_GB2312" w:hAnsi="仿宋_GB2312" w:eastAsia="仿宋_GB2312" w:cs="仿宋_GB2312"/>
          <w:color w:val="000000" w:themeColor="text1"/>
          <w:kern w:val="0"/>
          <w:sz w:val="31"/>
          <w:szCs w:val="31"/>
          <w14:textFill>
            <w14:solidFill>
              <w14:schemeClr w14:val="tx1"/>
            </w14:solidFill>
          </w14:textFill>
        </w:rPr>
        <w:t>市交通运输局</w:t>
      </w:r>
      <w:r>
        <w:rPr>
          <w:rFonts w:ascii="仿宋_GB2312" w:hAnsi="仿宋_GB2312" w:eastAsia="仿宋_GB2312" w:cs="仿宋_GB2312"/>
          <w:color w:val="000000" w:themeColor="text1"/>
          <w:kern w:val="0"/>
          <w:sz w:val="31"/>
          <w:szCs w:val="31"/>
          <w14:textFill>
            <w14:solidFill>
              <w14:schemeClr w14:val="tx1"/>
            </w14:solidFill>
          </w14:textFill>
        </w:rPr>
        <w:t>、</w:t>
      </w:r>
      <w:r>
        <w:rPr>
          <w:rFonts w:hint="eastAsia" w:ascii="仿宋_GB2312" w:hAnsi="仿宋_GB2312" w:eastAsia="仿宋_GB2312" w:cs="仿宋_GB2312"/>
          <w:color w:val="000000" w:themeColor="text1"/>
          <w:kern w:val="0"/>
          <w:sz w:val="31"/>
          <w:szCs w:val="31"/>
          <w14:textFill>
            <w14:solidFill>
              <w14:schemeClr w14:val="tx1"/>
            </w14:solidFill>
          </w14:textFill>
        </w:rPr>
        <w:t>市</w:t>
      </w:r>
      <w:r>
        <w:rPr>
          <w:rFonts w:ascii="仿宋_GB2312" w:hAnsi="仿宋_GB2312" w:eastAsia="仿宋_GB2312" w:cs="仿宋_GB2312"/>
          <w:color w:val="000000" w:themeColor="text1"/>
          <w:kern w:val="0"/>
          <w:sz w:val="31"/>
          <w:szCs w:val="31"/>
          <w14:textFill>
            <w14:solidFill>
              <w14:schemeClr w14:val="tx1"/>
            </w14:solidFill>
          </w14:textFill>
        </w:rPr>
        <w:t>卫健委、</w:t>
      </w:r>
      <w:r>
        <w:rPr>
          <w:rFonts w:hint="eastAsia" w:ascii="仿宋_GB2312" w:hAnsi="仿宋_GB2312" w:eastAsia="仿宋_GB2312" w:cs="仿宋_GB2312"/>
          <w:color w:val="000000" w:themeColor="text1"/>
          <w:kern w:val="0"/>
          <w:sz w:val="31"/>
          <w:szCs w:val="31"/>
          <w14:textFill>
            <w14:solidFill>
              <w14:schemeClr w14:val="tx1"/>
            </w14:solidFill>
          </w14:textFill>
        </w:rPr>
        <w:t>市应急管理局</w:t>
      </w:r>
      <w:r>
        <w:rPr>
          <w:rFonts w:ascii="仿宋_GB2312" w:hAnsi="仿宋_GB2312" w:eastAsia="仿宋_GB2312" w:cs="仿宋_GB2312"/>
          <w:color w:val="000000" w:themeColor="text1"/>
          <w:kern w:val="0"/>
          <w:sz w:val="31"/>
          <w:szCs w:val="31"/>
          <w14:textFill>
            <w14:solidFill>
              <w14:schemeClr w14:val="tx1"/>
            </w14:solidFill>
          </w14:textFill>
        </w:rPr>
        <w:t>、</w:t>
      </w:r>
      <w:r>
        <w:rPr>
          <w:rFonts w:hint="eastAsia" w:ascii="仿宋_GB2312" w:hAnsi="仿宋_GB2312" w:eastAsia="仿宋_GB2312" w:cs="仿宋_GB2312"/>
          <w:color w:val="000000" w:themeColor="text1"/>
          <w:kern w:val="0"/>
          <w:sz w:val="31"/>
          <w:szCs w:val="31"/>
          <w14:textFill>
            <w14:solidFill>
              <w14:schemeClr w14:val="tx1"/>
            </w14:solidFill>
          </w14:textFill>
        </w:rPr>
        <w:t>市</w:t>
      </w:r>
      <w:r>
        <w:rPr>
          <w:rFonts w:ascii="仿宋_GB2312" w:hAnsi="仿宋_GB2312" w:eastAsia="仿宋_GB2312" w:cs="仿宋_GB2312"/>
          <w:color w:val="000000" w:themeColor="text1"/>
          <w:kern w:val="0"/>
          <w:sz w:val="31"/>
          <w:szCs w:val="31"/>
          <w14:textFill>
            <w14:solidFill>
              <w14:schemeClr w14:val="tx1"/>
            </w14:solidFill>
          </w14:textFill>
        </w:rPr>
        <w:t>消防救援</w:t>
      </w:r>
      <w:r>
        <w:rPr>
          <w:rFonts w:hint="eastAsia" w:ascii="仿宋_GB2312" w:hAnsi="仿宋_GB2312" w:eastAsia="仿宋_GB2312" w:cs="仿宋_GB2312"/>
          <w:color w:val="000000" w:themeColor="text1"/>
          <w:kern w:val="0"/>
          <w:sz w:val="31"/>
          <w:szCs w:val="31"/>
          <w14:textFill>
            <w14:solidFill>
              <w14:schemeClr w14:val="tx1"/>
            </w14:solidFill>
          </w14:textFill>
        </w:rPr>
        <w:t>支队具体业务科室负责人组成。</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市</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生态环境局核与辐射安全监管科承担市辐射应急办日常工作。主要职责：</w:t>
      </w:r>
    </w:p>
    <w:p>
      <w:pPr>
        <w:widowControl/>
        <w:spacing w:line="23" w:lineRule="atLeast"/>
        <w:ind w:firstLine="560"/>
        <w:jc w:val="left"/>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1</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）组织制（修）订市级辐射事故应急预案，指导辐射事故应急准备工作，组织辐射事故应急培训、</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演练</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p>
    <w:p>
      <w:pPr>
        <w:widowControl/>
        <w:spacing w:line="23" w:lineRule="atLeast"/>
        <w:ind w:firstLine="560"/>
        <w:jc w:val="left"/>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）负责与市辐射事故应急指挥部成员单位的日常联络和信息交换工作，承担事故处置的综合协调工作，及时向有关部门通报情况，协调有关事项；</w:t>
      </w:r>
    </w:p>
    <w:p>
      <w:pPr>
        <w:widowControl/>
        <w:spacing w:line="23" w:lineRule="atLeast"/>
        <w:ind w:firstLine="560"/>
        <w:jc w:val="left"/>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3</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）组织开展辐射事故责任调查，负责撰写应急处置工作总结评估报告，报市辐射事故应急指挥部审议。</w:t>
      </w:r>
    </w:p>
    <w:p>
      <w:pPr>
        <w:pStyle w:val="3"/>
        <w:widowControl/>
        <w:spacing w:beforeAutospacing="0" w:afterAutospacing="0" w:line="360" w:lineRule="atLeast"/>
        <w:ind w:firstLine="560"/>
        <w:jc w:val="both"/>
        <w:rPr>
          <w:rFonts w:hint="default"/>
          <w:b w:val="0"/>
          <w:bCs w:val="0"/>
          <w:color w:val="000000" w:themeColor="text1"/>
          <w:sz w:val="24"/>
          <w:szCs w:val="24"/>
          <w14:textFill>
            <w14:solidFill>
              <w14:schemeClr w14:val="tx1"/>
            </w14:solidFill>
          </w14:textFill>
        </w:rPr>
      </w:pPr>
      <w:bookmarkStart w:id="74" w:name="_Toc112226315"/>
      <w:bookmarkEnd w:id="74"/>
      <w:bookmarkStart w:id="75" w:name="_Toc1417024395_WPSOffice_Level1"/>
      <w:bookmarkStart w:id="76" w:name="_Toc1034687449_WPSOffice_Level1"/>
      <w:r>
        <w:rPr>
          <w:rFonts w:hint="default" w:ascii="Times New Roman" w:hAnsi="Times New Roman"/>
          <w:b w:val="0"/>
          <w:bCs w:val="0"/>
          <w:color w:val="000000" w:themeColor="text1"/>
          <w:sz w:val="28"/>
          <w:szCs w:val="28"/>
          <w:shd w:val="clear" w:color="auto" w:fill="FFFFFF"/>
          <w14:textFill>
            <w14:solidFill>
              <w14:schemeClr w14:val="tx1"/>
            </w14:solidFill>
          </w14:textFill>
        </w:rPr>
        <w:t>3.3</w:t>
      </w:r>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辐射事故应急现场指挥部</w:t>
      </w:r>
      <w:bookmarkEnd w:id="75"/>
      <w:bookmarkEnd w:id="76"/>
    </w:p>
    <w:p>
      <w:pPr>
        <w:widowControl/>
        <w:spacing w:line="580" w:lineRule="atLeast"/>
        <w:ind w:firstLine="560"/>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发生辐射事故时，市辐射事故应急指挥部根据应急处置工作需要，成立辐射事故应急现场指挥部，现场指挥</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行动</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由市辐射事故应急指挥部指挥长确定，负责事故现场的指挥协调工作。辐射事故应急现场指挥部下设协调指挥组</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现场监测组、安全保卫组、现场处置组、医疗卫生组、舆情信息组</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、后勤保障组、专家咨询组</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。应急现场指挥部场</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所及相关保障工作由事发地县市区人民政府、经开区管委会负责。</w:t>
      </w:r>
    </w:p>
    <w:p>
      <w:pPr>
        <w:widowControl/>
        <w:spacing w:line="580" w:lineRule="atLeast"/>
        <w:ind w:firstLine="560"/>
        <w:rPr>
          <w:rFonts w:hint="eastAsia" w:ascii="仿宋_GB2312" w:hAnsi="微软雅黑" w:eastAsia="仿宋_GB2312" w:cs="仿宋_GB2312"/>
          <w:color w:val="000000" w:themeColor="text1"/>
          <w:kern w:val="0"/>
          <w:sz w:val="28"/>
          <w:szCs w:val="28"/>
          <w:shd w:val="clear" w:color="auto" w:fill="FFFFFF"/>
          <w:lang w:eastAsia="zh-CN"/>
          <w14:textFill>
            <w14:solidFill>
              <w14:schemeClr w14:val="tx1"/>
            </w14:solidFill>
          </w14:textFill>
        </w:rPr>
      </w:pP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1）协调指挥组：由市生态环境局牵头，市公安局、市卫健委、市应急管理局等部门及事发地人民政府、经开区有关部门负责人组成。负责组织协调各工作组有效开展应急响应工作；按照辐射事故应急指挥部的指令开展现场协调、指挥工作；负责提供辐射事故地点及相关单位的基础资料，及时报送辐射事故实时报告和现场应急信息；协调抢险救援物资装备保障及其他救援力量支援；指导事发地开展现场应急处置工作</w:t>
      </w:r>
      <w:r>
        <w:rPr>
          <w:rFonts w:hint="eastAsia" w:ascii="仿宋_GB2312" w:hAnsi="微软雅黑" w:eastAsia="仿宋_GB2312" w:cs="仿宋_GB2312"/>
          <w:color w:val="000000" w:themeColor="text1"/>
          <w:kern w:val="0"/>
          <w:sz w:val="28"/>
          <w:szCs w:val="28"/>
          <w:shd w:val="clear" w:color="auto" w:fill="FFFFFF"/>
          <w:lang w:eastAsia="zh-CN"/>
          <w14:textFill>
            <w14:solidFill>
              <w14:schemeClr w14:val="tx1"/>
            </w14:solidFill>
          </w14:textFill>
        </w:rPr>
        <w:t>。</w:t>
      </w:r>
    </w:p>
    <w:p>
      <w:pPr>
        <w:widowControl/>
        <w:spacing w:line="23" w:lineRule="atLeast"/>
        <w:ind w:firstLine="560"/>
        <w:jc w:val="left"/>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2）现场监测组：由市生态环境局牵头，负责开展辐射环境应急监测；制定辐射事故应急监测方案并组织实施；对应急处置行动提供必要支援；对事故所在地生态环境分局开展事故后期跟踪监测和去污后环境监测提供技术支援；提出外部监测力量支援建议。</w:t>
      </w:r>
    </w:p>
    <w:p>
      <w:pPr>
        <w:widowControl/>
        <w:spacing w:line="23" w:lineRule="atLeast"/>
        <w:ind w:firstLine="560"/>
        <w:jc w:val="left"/>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（3）安全保卫组：由市公安局牵头，负责或指导地方公安部门对丢失被盗放射源的立案侦查和追缴；指挥或指导当地公安机关执行现场警戒和交通管制任务；组织协调公安部门支援力量。</w:t>
      </w:r>
    </w:p>
    <w:p>
      <w:pPr>
        <w:widowControl/>
        <w:spacing w:line="23" w:lineRule="atLeast"/>
        <w:ind w:firstLine="560"/>
        <w:jc w:val="left"/>
        <w:rPr>
          <w:color w:val="000000" w:themeColor="text1"/>
          <w14:textFill>
            <w14:solidFill>
              <w14:schemeClr w14:val="tx1"/>
            </w14:solidFill>
          </w14:textFill>
        </w:rPr>
      </w:pP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（4）</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现场处置组：由市生态环境局牵头，市应急管理局按职责配合组织实施，负责制定事故处置方案；负责事故现场放射性污染的处理、处置；提出外部处置力量支援建议；负责对事故进行研判；必要时，配合有关部门对易失控的放射源实施收贮。</w:t>
      </w:r>
    </w:p>
    <w:p>
      <w:pPr>
        <w:widowControl/>
        <w:ind w:firstLine="560" w:firstLineChars="200"/>
        <w:jc w:val="left"/>
        <w:rPr>
          <w:rFonts w:ascii="仿宋_GB2312" w:hAnsi="仿宋_GB2312" w:eastAsia="仿宋_GB2312" w:cs="仿宋_GB2312"/>
          <w:color w:val="000000" w:themeColor="text1"/>
          <w:kern w:val="0"/>
          <w:sz w:val="31"/>
          <w:szCs w:val="3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5）医疗卫生组：由市卫生健康委牵头，指导事故现场卫生应急处置等应急救援工作；组织协调或指导受辐射伤害人员的医疗救治和剂量评价工作；组织协调或指导可能受到辐射伤害的人员健康影响评估；组织协调卫生部门支援力量。</w:t>
      </w:r>
    </w:p>
    <w:p>
      <w:pPr>
        <w:widowControl/>
        <w:spacing w:line="580" w:lineRule="atLeast"/>
        <w:ind w:firstLine="560"/>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（6）</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舆情信息组：由市委宣传部牵头，负责收集分析舆情，及时上报重要信息，向应急指挥部提出舆情应对建议；组织指导报刊、电台、电视、网络等新闻媒体及时宣传报道；组织开展辐射事故应急期间的公众宣传和专家解读，负责接待媒体采访和公众咨询。</w:t>
      </w:r>
    </w:p>
    <w:p>
      <w:pPr>
        <w:widowControl/>
        <w:spacing w:line="580" w:lineRule="atLeast"/>
        <w:ind w:firstLine="560"/>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（7）后勤保障组：</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后勤保障组由</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市</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生态环境</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局</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牵头，</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市</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财政</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局</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市</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卫健委部门和设区市人民政府相关人员组成。主要负责保障</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市</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级辐射事故应急处置所需经费；负责辐射事故应急处置所需物资的筹集与落实；负责保障事故应急处置期间的交通车辆以及应急人员的临时食宿；妥善安置撤离和疏散相关人员</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等。</w:t>
      </w:r>
    </w:p>
    <w:p>
      <w:pPr>
        <w:widowControl/>
        <w:spacing w:line="580" w:lineRule="atLeast"/>
        <w:ind w:firstLine="560"/>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（8）专家咨询组：</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由</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市生态环境局牵头组建，邀请</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核安全、辐射防护、放射医学、辐射环境监测、社会学和心理学等方面的专家组成。对事故性质、涉及范围、危害程度进行研判分析</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，并对防范类似事故的再次发生提出建议和意见</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，为应急处置决策提供咨询</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w:t>
      </w:r>
    </w:p>
    <w:p>
      <w:pPr>
        <w:pStyle w:val="2"/>
        <w:widowControl/>
        <w:spacing w:before="120" w:beforeAutospacing="0" w:after="120" w:afterAutospacing="0" w:line="405" w:lineRule="atLeast"/>
        <w:ind w:firstLine="643" w:firstLineChars="200"/>
        <w:jc w:val="both"/>
        <w:rPr>
          <w:rFonts w:hint="default" w:ascii="仿宋_GB2312" w:eastAsia="仿宋_GB2312" w:cs="仿宋_GB2312"/>
          <w:color w:val="000000" w:themeColor="text1"/>
          <w:sz w:val="32"/>
          <w:szCs w:val="32"/>
          <w:shd w:val="clear" w:color="auto" w:fill="FFFFFF"/>
          <w14:textFill>
            <w14:solidFill>
              <w14:schemeClr w14:val="tx1"/>
            </w14:solidFill>
          </w14:textFill>
        </w:rPr>
      </w:pPr>
      <w:bookmarkStart w:id="77" w:name="_Toc112226316"/>
      <w:bookmarkEnd w:id="77"/>
      <w:bookmarkStart w:id="78" w:name="_Toc80951455"/>
      <w:bookmarkEnd w:id="78"/>
      <w:bookmarkStart w:id="79" w:name="_Toc80951498"/>
      <w:r>
        <w:rPr>
          <w:rFonts w:hint="default" w:ascii="Times New Roman" w:hAnsi="Times New Roman"/>
          <w:color w:val="000000" w:themeColor="text1"/>
          <w:sz w:val="32"/>
          <w:szCs w:val="32"/>
          <w:shd w:val="clear" w:color="auto" w:fill="FFFFFF"/>
          <w14:textFill>
            <w14:solidFill>
              <w14:schemeClr w14:val="tx1"/>
            </w14:solidFill>
          </w14:textFill>
        </w:rPr>
        <w:t>4</w:t>
      </w:r>
      <w:bookmarkEnd w:id="79"/>
      <w:r>
        <w:rPr>
          <w:rFonts w:hint="default" w:ascii="仿宋_GB2312" w:eastAsia="仿宋_GB2312" w:cs="仿宋_GB2312"/>
          <w:color w:val="000000" w:themeColor="text1"/>
          <w:sz w:val="32"/>
          <w:szCs w:val="32"/>
          <w:shd w:val="clear" w:color="auto" w:fill="FFFFFF"/>
          <w14:textFill>
            <w14:solidFill>
              <w14:schemeClr w14:val="tx1"/>
            </w14:solidFill>
          </w14:textFill>
        </w:rPr>
        <w:t>预防预警</w:t>
      </w:r>
      <w:bookmarkStart w:id="80" w:name="_Toc25032_WPSOffice_Level1"/>
      <w:bookmarkEnd w:id="80"/>
      <w:bookmarkStart w:id="81" w:name="_Toc80951499"/>
      <w:bookmarkEnd w:id="81"/>
      <w:bookmarkStart w:id="82" w:name="_Toc112226317"/>
    </w:p>
    <w:p>
      <w:pPr>
        <w:pStyle w:val="3"/>
        <w:widowControl/>
        <w:spacing w:beforeAutospacing="0" w:afterAutospacing="0" w:line="580" w:lineRule="atLeast"/>
        <w:ind w:firstLine="560"/>
        <w:jc w:val="both"/>
        <w:rPr>
          <w:rFonts w:hint="default"/>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8"/>
          <w:szCs w:val="28"/>
          <w:shd w:val="clear" w:color="auto" w:fill="FFFFFF"/>
          <w14:textFill>
            <w14:solidFill>
              <w14:schemeClr w14:val="tx1"/>
            </w14:solidFill>
          </w14:textFill>
        </w:rPr>
        <w:t>4.1</w:t>
      </w:r>
      <w:bookmarkEnd w:id="82"/>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信息监控</w:t>
      </w:r>
    </w:p>
    <w:p>
      <w:pPr>
        <w:widowControl/>
        <w:spacing w:line="580"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1</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）重点收集、报告和处理放射源信息，监控放射源使用单位的安全运行状况，发现异常行动立即发出警告；</w:t>
      </w:r>
    </w:p>
    <w:p>
      <w:pPr>
        <w:widowControl/>
        <w:spacing w:line="580"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）建立并加强与毗邻区的信息共享机制，加强监测信息的综合分析和评估，提高辐射事故监测预报的准确性和时效性。</w:t>
      </w:r>
    </w:p>
    <w:p>
      <w:pPr>
        <w:widowControl/>
        <w:spacing w:line="580" w:lineRule="atLeast"/>
        <w:ind w:firstLine="560"/>
        <w:rPr>
          <w:color w:val="000000" w:themeColor="text1"/>
          <w:sz w:val="24"/>
          <w14:textFill>
            <w14:solidFill>
              <w14:schemeClr w14:val="tx1"/>
            </w14:solidFill>
          </w14:textFill>
        </w:rPr>
      </w:pPr>
      <w:bookmarkStart w:id="83" w:name="_Toc112226318"/>
      <w:r>
        <w:rPr>
          <w:rFonts w:ascii="Times New Roman" w:hAnsi="Times New Roman" w:cs="Times New Roman"/>
          <w:color w:val="000000" w:themeColor="text1"/>
          <w:sz w:val="28"/>
          <w:szCs w:val="28"/>
          <w:shd w:val="clear" w:color="auto" w:fill="FFFFFF"/>
          <w14:textFill>
            <w14:solidFill>
              <w14:schemeClr w14:val="tx1"/>
            </w14:solidFill>
          </w14:textFill>
        </w:rPr>
        <w:t>4.2</w:t>
      </w:r>
      <w:bookmarkEnd w:id="83"/>
      <w:r>
        <w:rPr>
          <w:rFonts w:ascii="仿宋_GB2312" w:eastAsia="仿宋_GB2312" w:cs="仿宋_GB2312"/>
          <w:color w:val="000000" w:themeColor="text1"/>
          <w:sz w:val="28"/>
          <w:szCs w:val="28"/>
          <w:shd w:val="clear" w:color="auto" w:fill="FFFFFF"/>
          <w14:textFill>
            <w14:solidFill>
              <w14:schemeClr w14:val="tx1"/>
            </w14:solidFill>
          </w14:textFill>
        </w:rPr>
        <w:t>预防工作</w:t>
      </w:r>
    </w:p>
    <w:p>
      <w:pPr>
        <w:widowControl/>
        <w:spacing w:line="580"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hint="eastAsia" w:ascii="Times New Roman" w:hAnsi="Times New Roman" w:eastAsia="微软雅黑" w:cs="Times New Roman"/>
          <w:color w:val="000000" w:themeColor="text1"/>
          <w:kern w:val="0"/>
          <w:sz w:val="28"/>
          <w:szCs w:val="28"/>
          <w:shd w:val="clear" w:color="auto" w:fill="FFFFFF"/>
          <w14:textFill>
            <w14:solidFill>
              <w14:schemeClr w14:val="tx1"/>
            </w14:solidFill>
          </w14:textFill>
        </w:rPr>
        <w:t>1</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辐射工作单位负责组织完善本单位辐射安全管理工作，制定本单位辐射事故应急处置方案，建立突发辐射事故风险隐患排查治理台账，落实各项预防措施，预防辐射事故的发生；在生产、销售、使用放射性同位素和射线装置的场所设置警示标识和安全防护设施，对直接从事生产、销售和使用的工作人员进行辐射安全和防护知识教育培训，经考核合格的方可上岗。</w:t>
      </w:r>
    </w:p>
    <w:p>
      <w:pPr>
        <w:widowControl/>
        <w:spacing w:line="580"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hint="eastAsia"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宣城市</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生态环境局定期开展放射性污染源调查，掌握</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宣城市</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放射性同位素和射线装置的类别、底数及分布情况，对放射性装置情况进行建档登记，实施动态管理；</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各有关部门按照各自职责对和与技术利用单位进行监督检查和安排隐患排查，对重点核技术利用项目实施有效监控，预防和减少辐射事故发生。</w:t>
      </w:r>
    </w:p>
    <w:p>
      <w:pPr>
        <w:pStyle w:val="3"/>
        <w:widowControl/>
        <w:spacing w:beforeAutospacing="0" w:afterAutospacing="0" w:line="580" w:lineRule="atLeast"/>
        <w:ind w:firstLine="560"/>
        <w:jc w:val="both"/>
        <w:rPr>
          <w:rFonts w:hint="default"/>
          <w:b w:val="0"/>
          <w:bCs w:val="0"/>
          <w:color w:val="000000" w:themeColor="text1"/>
          <w:sz w:val="24"/>
          <w:szCs w:val="24"/>
          <w14:textFill>
            <w14:solidFill>
              <w14:schemeClr w14:val="tx1"/>
            </w14:solidFill>
          </w14:textFill>
        </w:rPr>
      </w:pPr>
      <w:bookmarkStart w:id="84" w:name="_Toc27787_WPSOffice_Level1"/>
      <w:bookmarkEnd w:id="84"/>
      <w:bookmarkStart w:id="85" w:name="_Toc12476_WPSOffice_Level1"/>
      <w:bookmarkEnd w:id="85"/>
      <w:bookmarkStart w:id="86" w:name="_Toc112226319"/>
      <w:bookmarkEnd w:id="86"/>
      <w:bookmarkStart w:id="87" w:name="_Toc80951500"/>
      <w:bookmarkEnd w:id="87"/>
      <w:bookmarkStart w:id="88" w:name="_Toc80951501"/>
      <w:r>
        <w:rPr>
          <w:rFonts w:hint="default" w:ascii="Times New Roman" w:hAnsi="Times New Roman"/>
          <w:b w:val="0"/>
          <w:bCs w:val="0"/>
          <w:color w:val="000000" w:themeColor="text1"/>
          <w:sz w:val="28"/>
          <w:szCs w:val="28"/>
          <w:shd w:val="clear" w:color="auto" w:fill="FFFFFF"/>
          <w14:textFill>
            <w14:solidFill>
              <w14:schemeClr w14:val="tx1"/>
            </w14:solidFill>
          </w14:textFill>
        </w:rPr>
        <w:t>4.3</w:t>
      </w:r>
      <w:bookmarkEnd w:id="88"/>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预警工作</w:t>
      </w:r>
    </w:p>
    <w:p>
      <w:pPr>
        <w:widowControl/>
        <w:spacing w:line="580"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按照辐射事故分级，辐射事故预警级别相应分为四级，由高到低依次为一级（特别重大）、二级（重大）、三级（较大）、四级（一般）表示。按照辐射事故发展态势，</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县市区</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hint="eastAsia" w:ascii="仿宋_GB2312" w:hAnsi="微软雅黑" w:eastAsia="仿宋_GB2312" w:cs="仿宋_GB2312"/>
          <w:color w:val="000000" w:themeColor="text1"/>
          <w:kern w:val="0"/>
          <w:sz w:val="28"/>
          <w:szCs w:val="28"/>
          <w:shd w:val="clear" w:color="auto" w:fill="FFFFFF"/>
          <w:lang w:val="en-US" w:eastAsia="zh-CN"/>
          <w14:textFill>
            <w14:solidFill>
              <w14:schemeClr w14:val="tx1"/>
            </w14:solidFill>
          </w14:textFill>
        </w:rPr>
        <w:t>经开区</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管委会辐射应急指挥部初步判断预警级别，发布预警信息；应急指挥部在无法甄别辐射事件等级的情况下，应立即上报</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宣城市</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政府及</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宣城市</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生态环境局，由市生态环境局负责甄别环境</w:t>
      </w:r>
      <w:r>
        <w:rPr>
          <w:rFonts w:hint="eastAsia" w:ascii="仿宋_GB2312" w:hAnsi="微软雅黑" w:eastAsia="仿宋_GB2312" w:cs="仿宋_GB2312"/>
          <w:color w:val="000000" w:themeColor="text1"/>
          <w:kern w:val="0"/>
          <w:sz w:val="28"/>
          <w:szCs w:val="28"/>
          <w:shd w:val="clear" w:color="auto" w:fill="FFFFFF"/>
          <w:lang w:val="en-US" w:eastAsia="zh-CN"/>
          <w14:textFill>
            <w14:solidFill>
              <w14:schemeClr w14:val="tx1"/>
            </w14:solidFill>
          </w14:textFill>
        </w:rPr>
        <w:t>事故</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等级。</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对污染危害不大、影响范围较小，尚达不到四级预警级别的环境</w:t>
      </w:r>
      <w:r>
        <w:rPr>
          <w:rFonts w:hint="eastAsia" w:ascii="仿宋_GB2312" w:hAnsi="微软雅黑" w:eastAsia="仿宋_GB2312" w:cs="仿宋_GB2312"/>
          <w:color w:val="000000" w:themeColor="text1"/>
          <w:kern w:val="0"/>
          <w:sz w:val="28"/>
          <w:szCs w:val="28"/>
          <w:shd w:val="clear" w:color="auto" w:fill="FFFFFF"/>
          <w:lang w:val="en-US" w:eastAsia="zh-CN"/>
          <w14:textFill>
            <w14:solidFill>
              <w14:schemeClr w14:val="tx1"/>
            </w14:solidFill>
          </w14:textFill>
        </w:rPr>
        <w:t>事故</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，由各部门按照相关应急预案自行处置，并上报上级政府、上级生态环境部门。</w:t>
      </w:r>
    </w:p>
    <w:p>
      <w:pPr>
        <w:widowControl/>
        <w:spacing w:line="580"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进入预警状态后，市辐射事故应急机构应当采取以下措施：</w:t>
      </w:r>
    </w:p>
    <w:p>
      <w:pPr>
        <w:widowControl/>
        <w:spacing w:line="580"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1</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）立即启动辐射事故应急预案；</w:t>
      </w:r>
    </w:p>
    <w:p>
      <w:pPr>
        <w:widowControl/>
        <w:spacing w:line="580"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）发布预警公告。二级以上（含二级）预警由省政府负责发布，三级预警由市政府负责发布，四级预警由事发地</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县市区</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人民政府、经开区管委会负责发布。发布可能引起公众恐慌、影响社会稳定的预警信息，需经省政府批准；</w:t>
      </w:r>
    </w:p>
    <w:p>
      <w:pPr>
        <w:widowControl/>
        <w:spacing w:line="580"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3</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）各辐射事故应急处置队伍进入预警状态，辐射监测部门立即开展应急监测，随时掌握并报告事态进展情况；</w:t>
      </w:r>
    </w:p>
    <w:p>
      <w:pPr>
        <w:widowControl/>
        <w:spacing w:line="580"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4</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）针对辐射事故可能造成的危害，封闭、隔离或者限制使用有关场所，中止可能导致危害扩大的行为和活动；</w:t>
      </w:r>
    </w:p>
    <w:p>
      <w:pPr>
        <w:widowControl/>
        <w:spacing w:line="580"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5</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）转移、撤离或者疏散可能受到危害的人员，并进行妥善安置；</w:t>
      </w:r>
    </w:p>
    <w:p>
      <w:pPr>
        <w:widowControl/>
        <w:spacing w:line="580"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6</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）调集辐射事故应急所需物资和设备，做好</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物资保障</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工作；</w:t>
      </w:r>
    </w:p>
    <w:p>
      <w:pPr>
        <w:widowControl/>
        <w:spacing w:line="580"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7</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）组织相关机构和专家，及时对预警信息进行分析研判，必要时到现场核实信息，预估可能的影响范围和危害程度。</w:t>
      </w:r>
    </w:p>
    <w:p>
      <w:pPr>
        <w:widowControl/>
        <w:jc w:val="left"/>
        <w:rPr>
          <w:color w:val="000000" w:themeColor="text1"/>
          <w14:textFill>
            <w14:solidFill>
              <w14:schemeClr w14:val="tx1"/>
            </w14:solidFill>
          </w14:textFill>
        </w:rPr>
      </w:pPr>
    </w:p>
    <w:p>
      <w:pPr>
        <w:pStyle w:val="2"/>
        <w:widowControl/>
        <w:spacing w:before="120" w:beforeAutospacing="0" w:after="120" w:afterAutospacing="0" w:line="405" w:lineRule="atLeast"/>
        <w:jc w:val="both"/>
        <w:rPr>
          <w:rFonts w:hint="default"/>
          <w:b w:val="0"/>
          <w:bCs w:val="0"/>
          <w:color w:val="000000" w:themeColor="text1"/>
          <w:sz w:val="27"/>
          <w:szCs w:val="27"/>
          <w14:textFill>
            <w14:solidFill>
              <w14:schemeClr w14:val="tx1"/>
            </w14:solidFill>
          </w14:textFill>
        </w:rPr>
      </w:pPr>
      <w:bookmarkStart w:id="89" w:name="_Toc80951456"/>
      <w:bookmarkEnd w:id="89"/>
      <w:bookmarkStart w:id="90" w:name="_Toc112226320"/>
      <w:bookmarkEnd w:id="90"/>
      <w:bookmarkStart w:id="91" w:name="_Toc80951502"/>
      <w:bookmarkStart w:id="92" w:name="_Toc196947570_WPSOffice_Level1"/>
      <w:bookmarkStart w:id="93" w:name="_Toc614021604_WPSOffice_Level1"/>
      <w:r>
        <w:rPr>
          <w:rFonts w:hint="default" w:ascii="Times New Roman" w:hAnsi="Times New Roman"/>
          <w:color w:val="000000" w:themeColor="text1"/>
          <w:sz w:val="32"/>
          <w:szCs w:val="32"/>
          <w:shd w:val="clear" w:color="auto" w:fill="FFFFFF"/>
          <w14:textFill>
            <w14:solidFill>
              <w14:schemeClr w14:val="tx1"/>
            </w14:solidFill>
          </w14:textFill>
        </w:rPr>
        <w:t>5</w:t>
      </w:r>
      <w:bookmarkEnd w:id="91"/>
      <w:r>
        <w:rPr>
          <w:rFonts w:hint="default" w:ascii="仿宋_GB2312" w:eastAsia="仿宋_GB2312" w:cs="仿宋_GB2312"/>
          <w:color w:val="000000" w:themeColor="text1"/>
          <w:sz w:val="32"/>
          <w:szCs w:val="32"/>
          <w:shd w:val="clear" w:color="auto" w:fill="FFFFFF"/>
          <w14:textFill>
            <w14:solidFill>
              <w14:schemeClr w14:val="tx1"/>
            </w14:solidFill>
          </w14:textFill>
        </w:rPr>
        <w:t>应急响应</w:t>
      </w:r>
      <w:bookmarkEnd w:id="92"/>
      <w:bookmarkEnd w:id="93"/>
    </w:p>
    <w:p>
      <w:pPr>
        <w:pStyle w:val="3"/>
        <w:widowControl/>
        <w:spacing w:beforeAutospacing="0" w:afterAutospacing="0" w:line="360" w:lineRule="atLeast"/>
        <w:ind w:firstLine="560"/>
        <w:jc w:val="both"/>
        <w:rPr>
          <w:rFonts w:hint="default"/>
          <w:b w:val="0"/>
          <w:bCs w:val="0"/>
          <w:color w:val="000000" w:themeColor="text1"/>
          <w:sz w:val="24"/>
          <w:szCs w:val="24"/>
          <w14:textFill>
            <w14:solidFill>
              <w14:schemeClr w14:val="tx1"/>
            </w14:solidFill>
          </w14:textFill>
        </w:rPr>
      </w:pPr>
      <w:bookmarkStart w:id="94" w:name="_Toc27889_WPSOffice_Level1"/>
      <w:bookmarkEnd w:id="94"/>
      <w:bookmarkStart w:id="95" w:name="_Toc80951503"/>
      <w:bookmarkEnd w:id="95"/>
      <w:bookmarkStart w:id="96" w:name="_Toc112226322"/>
      <w:bookmarkStart w:id="97" w:name="_Toc425337259_WPSOffice_Level1"/>
      <w:bookmarkStart w:id="98" w:name="_Toc831100762_WPSOffice_Level1"/>
      <w:bookmarkStart w:id="99" w:name="_Toc112226321"/>
      <w:r>
        <w:rPr>
          <w:rFonts w:hint="default" w:ascii="Times New Roman" w:hAnsi="Times New Roman"/>
          <w:b w:val="0"/>
          <w:bCs w:val="0"/>
          <w:color w:val="000000" w:themeColor="text1"/>
          <w:sz w:val="28"/>
          <w:szCs w:val="28"/>
          <w:shd w:val="clear" w:color="auto" w:fill="FFFFFF"/>
          <w14:textFill>
            <w14:solidFill>
              <w14:schemeClr w14:val="tx1"/>
            </w14:solidFill>
          </w14:textFill>
        </w:rPr>
        <w:t>5.</w:t>
      </w:r>
      <w:bookmarkEnd w:id="96"/>
      <w:r>
        <w:rPr>
          <w:rFonts w:ascii="Times New Roman" w:hAnsi="Times New Roman"/>
          <w:b w:val="0"/>
          <w:bCs w:val="0"/>
          <w:color w:val="000000" w:themeColor="text1"/>
          <w:sz w:val="28"/>
          <w:szCs w:val="28"/>
          <w:shd w:val="clear" w:color="auto" w:fill="FFFFFF"/>
          <w14:textFill>
            <w14:solidFill>
              <w14:schemeClr w14:val="tx1"/>
            </w14:solidFill>
          </w14:textFill>
        </w:rPr>
        <w:t>1</w:t>
      </w:r>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响应分级</w:t>
      </w:r>
      <w:bookmarkEnd w:id="97"/>
      <w:bookmarkEnd w:id="98"/>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按照分级负责、属地为主的原则，市级辐射事故应急响应分为一级、二级、三级。</w:t>
      </w:r>
    </w:p>
    <w:p>
      <w:pPr>
        <w:widowControl/>
        <w:spacing w:line="23" w:lineRule="atLeast"/>
        <w:ind w:firstLine="560"/>
        <w:rPr>
          <w:color w:val="000000" w:themeColor="text1"/>
          <w14:textFill>
            <w14:solidFill>
              <w14:schemeClr w14:val="tx1"/>
            </w14:solidFill>
          </w14:textFill>
        </w:rPr>
      </w:pP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5.</w:t>
      </w:r>
      <w:r>
        <w:rPr>
          <w:rFonts w:hint="eastAsia" w:ascii="Times New Roman" w:hAnsi="Times New Roman" w:eastAsia="微软雅黑" w:cs="Times New Roman"/>
          <w:color w:val="000000" w:themeColor="text1"/>
          <w:kern w:val="0"/>
          <w:sz w:val="28"/>
          <w:szCs w:val="28"/>
          <w:shd w:val="clear" w:color="auto" w:fill="FFFFFF"/>
          <w14:textFill>
            <w14:solidFill>
              <w14:schemeClr w14:val="tx1"/>
            </w14:solidFill>
          </w14:textFill>
        </w:rPr>
        <w:t>1</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.1</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一级响应（特别重大、重大辐射事故）</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在发生特别重大、重大辐射事故时，经市辐射事故应急办公室确认事故级别后，应立即启动辐射事故应急预案。应急指挥部组织、指挥开展先期处置工作，所在</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县市区</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人民政府、经开区</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管委会</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及市级相关部门参与，防止辐射污染蔓延，建立安全警戒线。建立与省辐射事故应急指挥部的通信联络，随时报告事故进展情况。省辐射事故应急预案启动后，</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按《安徽</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省辐射事故应急</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预案》实施</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p>
    <w:p>
      <w:pPr>
        <w:widowControl/>
        <w:spacing w:line="23" w:lineRule="atLeast"/>
        <w:ind w:firstLine="560"/>
        <w:rPr>
          <w:color w:val="000000" w:themeColor="text1"/>
          <w14:textFill>
            <w14:solidFill>
              <w14:schemeClr w14:val="tx1"/>
            </w14:solidFill>
          </w14:textFill>
        </w:rPr>
      </w:pP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5.</w:t>
      </w:r>
      <w:r>
        <w:rPr>
          <w:rFonts w:hint="eastAsia" w:ascii="Times New Roman" w:hAnsi="Times New Roman" w:eastAsia="微软雅黑" w:cs="Times New Roman"/>
          <w:color w:val="000000" w:themeColor="text1"/>
          <w:kern w:val="0"/>
          <w:sz w:val="28"/>
          <w:szCs w:val="28"/>
          <w:shd w:val="clear" w:color="auto" w:fill="FFFFFF"/>
          <w14:textFill>
            <w14:solidFill>
              <w14:schemeClr w14:val="tx1"/>
            </w14:solidFill>
          </w14:textFill>
        </w:rPr>
        <w:t>1</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二级响应（较大辐射事故）</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在发生较大辐射事故时，经市辐射事故应急办公室确认事故级别后应立即启动辐射事故应急预案。应急指挥部组织、指挥开展处置工作，所在地</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县市区</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人民政府、经开区</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管委会</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及市级相关部门参与。市辐射事故应急指挥部将辐射事故的基本情况、事故影响程度和应急处置情况上报市人民政府和省辐射事故应急指挥部，必要时请求省辐射事故应急指挥部支援。</w:t>
      </w:r>
    </w:p>
    <w:p>
      <w:pPr>
        <w:widowControl/>
        <w:spacing w:line="23" w:lineRule="atLeast"/>
        <w:ind w:firstLine="560"/>
        <w:rPr>
          <w:color w:val="000000" w:themeColor="text1"/>
          <w14:textFill>
            <w14:solidFill>
              <w14:schemeClr w14:val="tx1"/>
            </w14:solidFill>
          </w14:textFill>
        </w:rPr>
      </w:pP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5.</w:t>
      </w:r>
      <w:r>
        <w:rPr>
          <w:rFonts w:hint="eastAsia" w:ascii="Times New Roman" w:hAnsi="Times New Roman" w:eastAsia="微软雅黑" w:cs="Times New Roman"/>
          <w:color w:val="000000" w:themeColor="text1"/>
          <w:kern w:val="0"/>
          <w:sz w:val="28"/>
          <w:szCs w:val="28"/>
          <w:shd w:val="clear" w:color="auto" w:fill="FFFFFF"/>
          <w14:textFill>
            <w14:solidFill>
              <w14:schemeClr w14:val="tx1"/>
            </w14:solidFill>
          </w14:textFill>
        </w:rPr>
        <w:t>1</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.3</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三级响应（一般辐射事故）</w:t>
      </w:r>
    </w:p>
    <w:p>
      <w:pPr>
        <w:widowControl/>
        <w:spacing w:line="23" w:lineRule="atLeast"/>
        <w:ind w:firstLine="560"/>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在发生一般辐射事故时，经市辐射事故应急办公室确认事故级别后，由事发</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县市区</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人民政府、经开区</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管委会</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启动应急预案，组织实施应急处置行动。市辐射事故应急办公室根据有关规定上报市辐射事故应急指挥部，市辐射事故应急指挥部跟踪事态发展，加强研判，必要时派出工作组现场指导，或派专家、救援力量、提供专业救援设备支援。</w:t>
      </w:r>
    </w:p>
    <w:p>
      <w:pPr>
        <w:widowControl/>
        <w:spacing w:line="23" w:lineRule="atLeast"/>
        <w:ind w:firstLine="560"/>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5.</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1</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4响应级别调整</w:t>
      </w:r>
    </w:p>
    <w:p>
      <w:pPr>
        <w:widowControl/>
        <w:spacing w:line="23" w:lineRule="atLeast"/>
        <w:ind w:firstLine="560"/>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 xml:space="preserve">应急响应启动后，可视事故发展趋势调整响应级别，避免响应不足或响应过度。符合下列条件之一的，应及时调整辐射事故应急响应等级： </w:t>
      </w:r>
    </w:p>
    <w:p>
      <w:pPr>
        <w:widowControl/>
        <w:spacing w:line="23" w:lineRule="atLeast"/>
        <w:ind w:firstLine="560"/>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 xml:space="preserve">（1）经核查，人员受伤或放射性污染情况不符合原定的应急响应等级； </w:t>
      </w:r>
    </w:p>
    <w:p>
      <w:pPr>
        <w:widowControl/>
        <w:spacing w:line="23" w:lineRule="atLeast"/>
        <w:ind w:firstLine="560"/>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 xml:space="preserve">（2）放射性污染已得到控制，当前污染的情况已低于原应急响应等级且无扩大的可能性； </w:t>
      </w:r>
    </w:p>
    <w:p>
      <w:pPr>
        <w:widowControl/>
        <w:spacing w:line="23" w:lineRule="atLeast"/>
        <w:ind w:firstLine="560"/>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（3）辐射事故污染范围有进一步扩大趋势，可能造成跨</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县</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域或跨</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市</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 xml:space="preserve">域辐射污染后果的。 </w:t>
      </w:r>
    </w:p>
    <w:p>
      <w:pPr>
        <w:widowControl/>
        <w:spacing w:line="23" w:lineRule="atLeast"/>
        <w:ind w:firstLine="560"/>
        <w:rPr>
          <w:rFonts w:ascii="Times New Roman" w:hAnsi="Times New Roman" w:cs="Times New Roman"/>
          <w:color w:val="000000" w:themeColor="text1"/>
          <w:sz w:val="28"/>
          <w:szCs w:val="28"/>
          <w:shd w:val="clear" w:color="auto" w:fill="FFFFFF"/>
          <w14:textFill>
            <w14:solidFill>
              <w14:schemeClr w14:val="tx1"/>
            </w14:solidFill>
          </w14:textFill>
        </w:rPr>
      </w:pP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市</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辐射应急办根据事故处置的进展情况和专家组意见，向</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市</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辐射事故应急指挥部提出调整应急响应等级的建议，相应的工作组按照调整后的响应级别开展工作</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w:t>
      </w:r>
    </w:p>
    <w:p>
      <w:pPr>
        <w:pStyle w:val="3"/>
        <w:widowControl/>
        <w:spacing w:beforeAutospacing="0" w:afterAutospacing="0" w:line="360" w:lineRule="atLeast"/>
        <w:ind w:firstLine="560"/>
        <w:jc w:val="both"/>
        <w:rPr>
          <w:rFonts w:hint="default"/>
          <w:b w:val="0"/>
          <w:bCs w:val="0"/>
          <w:color w:val="000000" w:themeColor="text1"/>
          <w:sz w:val="24"/>
          <w:szCs w:val="24"/>
          <w14:textFill>
            <w14:solidFill>
              <w14:schemeClr w14:val="tx1"/>
            </w14:solidFill>
          </w14:textFill>
        </w:rPr>
      </w:pPr>
      <w:bookmarkStart w:id="100" w:name="_Toc1725185985_WPSOffice_Level1"/>
      <w:bookmarkStart w:id="101" w:name="_Toc1334538413_WPSOffice_Level1"/>
      <w:r>
        <w:rPr>
          <w:rFonts w:hint="default" w:ascii="Times New Roman" w:hAnsi="Times New Roman"/>
          <w:b w:val="0"/>
          <w:bCs w:val="0"/>
          <w:color w:val="000000" w:themeColor="text1"/>
          <w:sz w:val="28"/>
          <w:szCs w:val="28"/>
          <w:shd w:val="clear" w:color="auto" w:fill="FFFFFF"/>
          <w14:textFill>
            <w14:solidFill>
              <w14:schemeClr w14:val="tx1"/>
            </w14:solidFill>
          </w14:textFill>
        </w:rPr>
        <w:t>5.</w:t>
      </w:r>
      <w:bookmarkEnd w:id="99"/>
      <w:r>
        <w:rPr>
          <w:rFonts w:ascii="Times New Roman" w:hAnsi="Times New Roman"/>
          <w:b w:val="0"/>
          <w:bCs w:val="0"/>
          <w:color w:val="000000" w:themeColor="text1"/>
          <w:sz w:val="28"/>
          <w:szCs w:val="28"/>
          <w:shd w:val="clear" w:color="auto" w:fill="FFFFFF"/>
          <w14:textFill>
            <w14:solidFill>
              <w14:schemeClr w14:val="tx1"/>
            </w14:solidFill>
          </w14:textFill>
        </w:rPr>
        <w:t>2</w:t>
      </w:r>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信息报送与处理</w:t>
      </w:r>
      <w:bookmarkEnd w:id="100"/>
      <w:bookmarkEnd w:id="101"/>
    </w:p>
    <w:p>
      <w:pPr>
        <w:widowControl/>
        <w:spacing w:line="23" w:lineRule="atLeast"/>
        <w:ind w:firstLine="560"/>
        <w:rPr>
          <w:color w:val="000000" w:themeColor="text1"/>
          <w14:textFill>
            <w14:solidFill>
              <w14:schemeClr w14:val="tx1"/>
            </w14:solidFill>
          </w14:textFill>
        </w:rPr>
      </w:pP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5.</w:t>
      </w:r>
      <w:r>
        <w:rPr>
          <w:rFonts w:hint="eastAsia"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.1</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信息来源</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1</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）辐射技术应用单位及其主管部门报告；</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）生态环境、公安、卫生健康、应急部门发现；</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3</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）其他。</w:t>
      </w:r>
    </w:p>
    <w:p>
      <w:pPr>
        <w:widowControl/>
        <w:spacing w:line="23" w:lineRule="atLeast"/>
        <w:ind w:firstLine="560"/>
        <w:rPr>
          <w:color w:val="000000" w:themeColor="text1"/>
          <w14:textFill>
            <w14:solidFill>
              <w14:schemeClr w14:val="tx1"/>
            </w14:solidFill>
          </w14:textFill>
        </w:rPr>
      </w:pP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5.</w:t>
      </w:r>
      <w:r>
        <w:rPr>
          <w:rFonts w:hint="eastAsia"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信息分类</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1</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hint="eastAsia" w:ascii="宋体" w:hAnsi="宋体" w:eastAsia="宋体" w:cs="宋体"/>
          <w:color w:val="000000" w:themeColor="text1"/>
          <w:kern w:val="0"/>
          <w:sz w:val="28"/>
          <w:szCs w:val="28"/>
          <w:shd w:val="clear" w:color="auto" w:fill="FFFFFF"/>
          <w14:textFill>
            <w14:solidFill>
              <w14:schemeClr w14:val="tx1"/>
            </w14:solidFill>
          </w14:textFill>
        </w:rPr>
        <w:t>Ⅰ</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类、</w:t>
      </w:r>
      <w:r>
        <w:rPr>
          <w:rFonts w:hint="eastAsia" w:ascii="宋体" w:hAnsi="宋体" w:eastAsia="宋体" w:cs="宋体"/>
          <w:color w:val="000000" w:themeColor="text1"/>
          <w:kern w:val="0"/>
          <w:sz w:val="28"/>
          <w:szCs w:val="28"/>
          <w:shd w:val="clear" w:color="auto" w:fill="FFFFFF"/>
          <w14:textFill>
            <w14:solidFill>
              <w14:schemeClr w14:val="tx1"/>
            </w14:solidFill>
          </w14:textFill>
        </w:rPr>
        <w:t>Ⅱ</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类放射源丢失、被盗、失控；</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hint="eastAsia" w:ascii="宋体" w:hAnsi="宋体" w:eastAsia="宋体" w:cs="宋体"/>
          <w:color w:val="000000" w:themeColor="text1"/>
          <w:kern w:val="0"/>
          <w:sz w:val="28"/>
          <w:szCs w:val="28"/>
          <w:shd w:val="clear" w:color="auto" w:fill="FFFFFF"/>
          <w14:textFill>
            <w14:solidFill>
              <w14:schemeClr w14:val="tx1"/>
            </w14:solidFill>
          </w14:textFill>
        </w:rPr>
        <w:t>Ⅲ</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类放射源丢失、被盗、失控；</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3</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hint="eastAsia" w:ascii="宋体" w:hAnsi="宋体" w:eastAsia="宋体" w:cs="宋体"/>
          <w:color w:val="000000" w:themeColor="text1"/>
          <w:kern w:val="0"/>
          <w:sz w:val="28"/>
          <w:szCs w:val="28"/>
          <w:shd w:val="clear" w:color="auto" w:fill="FFFFFF"/>
          <w14:textFill>
            <w14:solidFill>
              <w14:schemeClr w14:val="tx1"/>
            </w14:solidFill>
          </w14:textFill>
        </w:rPr>
        <w:t>Ⅳ</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类、</w:t>
      </w:r>
      <w:r>
        <w:rPr>
          <w:rFonts w:hint="eastAsia" w:ascii="宋体" w:hAnsi="宋体" w:eastAsia="宋体" w:cs="宋体"/>
          <w:color w:val="000000" w:themeColor="text1"/>
          <w:kern w:val="0"/>
          <w:sz w:val="28"/>
          <w:szCs w:val="28"/>
          <w:shd w:val="clear" w:color="auto" w:fill="FFFFFF"/>
          <w14:textFill>
            <w14:solidFill>
              <w14:schemeClr w14:val="tx1"/>
            </w14:solidFill>
          </w14:textFill>
        </w:rPr>
        <w:t>Ⅴ</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类放射源丢失、被盗、失控；</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4</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）放射性同位素和射线装置失控；</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5</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）放射性物质泄漏造成的辐射污染事故；</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6</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）放射性物质运输中发生事故；</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7</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）可能对我市环境造成辐射影响的市外辐射事故；</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8</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）航空器在我市境内坠落造成的环境辐射污染事故；</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9</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）各种重大自然灾害引发的次生辐射事故。</w:t>
      </w:r>
    </w:p>
    <w:p>
      <w:pPr>
        <w:widowControl/>
        <w:spacing w:line="23" w:lineRule="atLeast"/>
        <w:ind w:firstLine="560"/>
        <w:rPr>
          <w:color w:val="000000" w:themeColor="text1"/>
          <w14:textFill>
            <w14:solidFill>
              <w14:schemeClr w14:val="tx1"/>
            </w14:solidFill>
          </w14:textFill>
        </w:rPr>
      </w:pP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5.</w:t>
      </w:r>
      <w:r>
        <w:rPr>
          <w:rFonts w:hint="eastAsia"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.3</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信息识别</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相关人员根据信息来源和有关情况进行信息识别，初步判断是否属于辐射事故。</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对突发辐射事故进行评估：</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1</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评估内容：明确突发辐射事故性质和级别，预测可能的涉及范围、发展趋势及其对人体健康或环境的影响，确定突发辐射事故的级别，评估现有应急处置措施是否得当，应急能力是否达到控制突发辐射事故的需求等。</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）快速评估步骤：通过对突发辐射事故发生地区进行现场调查，收集资料，并迅速对现有信息资料进行全面分析研究，提出评估意见，为行政决策提供依据。</w:t>
      </w:r>
    </w:p>
    <w:p>
      <w:pPr>
        <w:widowControl/>
        <w:spacing w:line="23" w:lineRule="atLeast"/>
        <w:ind w:firstLine="560"/>
        <w:rPr>
          <w:color w:val="000000" w:themeColor="text1"/>
          <w14:textFill>
            <w14:solidFill>
              <w14:schemeClr w14:val="tx1"/>
            </w14:solidFill>
          </w14:textFill>
        </w:rPr>
      </w:pP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5.</w:t>
      </w:r>
      <w:r>
        <w:rPr>
          <w:rFonts w:hint="eastAsia"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.4</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应急信息通报</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市生态环境、公安、卫生健康、应急部门接到辐射事故报告或发现辐射事故后，应立即相互通报情况，并统一由市生态环境部门报告市辐射事故应急指挥部，由市辐射事故应急指挥部通报事发地</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县市区</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人民政府、经开区</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管委会</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，并上报市人民政府和省辐射事故应急领导小组。</w:t>
      </w:r>
    </w:p>
    <w:p>
      <w:pPr>
        <w:widowControl/>
        <w:spacing w:line="23" w:lineRule="atLeast"/>
        <w:ind w:firstLine="560"/>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5.</w:t>
      </w:r>
      <w:r>
        <w:rPr>
          <w:rFonts w:hint="eastAsia"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.5</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信息报送程序和时限</w:t>
      </w:r>
    </w:p>
    <w:p>
      <w:pPr>
        <w:widowControl/>
        <w:spacing w:line="23" w:lineRule="atLeast"/>
        <w:ind w:firstLine="560"/>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（1）</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涉事单位信息报告</w:t>
      </w:r>
    </w:p>
    <w:p>
      <w:pPr>
        <w:widowControl/>
        <w:jc w:val="both"/>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hAnsi="微软雅黑" w:eastAsia="仿宋_GB2312" w:cs="仿宋_GB2312"/>
          <w:color w:val="000000" w:themeColor="text1"/>
          <w:kern w:val="0"/>
          <w:sz w:val="28"/>
          <w:szCs w:val="28"/>
          <w:shd w:val="clear" w:color="auto" w:fill="FFFFFF"/>
          <w:lang w:val="en-US" w:eastAsia="zh-CN"/>
          <w14:textFill>
            <w14:solidFill>
              <w14:schemeClr w14:val="tx1"/>
            </w14:solidFill>
          </w14:textFill>
        </w:rPr>
        <w:t xml:space="preserve">    </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辐射事故责任单位或责任人发现辐射事故后，必须立即向所在地生态环境、公安、卫健等部门报告（报告格式见附件 </w:t>
      </w:r>
      <w:r>
        <w:rPr>
          <w:rFonts w:hint="eastAsia" w:ascii="仿宋_GB2312" w:hAnsi="微软雅黑" w:eastAsia="仿宋_GB2312" w:cs="仿宋_GB2312"/>
          <w:color w:val="000000" w:themeColor="text1"/>
          <w:kern w:val="0"/>
          <w:sz w:val="28"/>
          <w:szCs w:val="28"/>
          <w:shd w:val="clear" w:color="auto" w:fill="FFFFFF"/>
          <w:lang w:eastAsia="zh-CN"/>
          <w14:textFill>
            <w14:solidFill>
              <w14:schemeClr w14:val="tx1"/>
            </w14:solidFill>
          </w14:textFill>
        </w:rPr>
        <w:t>：</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宣城市</w:t>
      </w:r>
      <w:r>
        <w:rPr>
          <w:rFonts w:hint="default" w:ascii="仿宋_GB2312" w:hAnsi="微软雅黑" w:eastAsia="仿宋_GB2312" w:cs="仿宋_GB2312"/>
          <w:color w:val="000000" w:themeColor="text1"/>
          <w:kern w:val="0"/>
          <w:sz w:val="28"/>
          <w:szCs w:val="28"/>
          <w:shd w:val="clear" w:color="auto" w:fill="FFFFFF"/>
          <w14:textFill>
            <w14:solidFill>
              <w14:schemeClr w14:val="tx1"/>
            </w14:solidFill>
          </w14:textFill>
        </w:rPr>
        <w:t>辐射事故信息发布文稿</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 </w:t>
      </w:r>
      <w:r>
        <w:rPr>
          <w:rFonts w:hint="eastAsia" w:ascii="仿宋_GB2312" w:hAnsi="微软雅黑" w:eastAsia="仿宋_GB2312" w:cs="仿宋_GB2312"/>
          <w:color w:val="000000" w:themeColor="text1"/>
          <w:kern w:val="0"/>
          <w:sz w:val="28"/>
          <w:szCs w:val="28"/>
          <w:u w:val="single"/>
          <w:shd w:val="clear" w:color="auto" w:fill="FFFFFF"/>
          <w14:textFill>
            <w14:solidFill>
              <w14:schemeClr w14:val="tx1"/>
            </w14:solidFill>
          </w14:textFill>
        </w:rPr>
        <w:t>            </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辐射事故初始报告表（</w:t>
      </w:r>
      <w:r>
        <w:rPr>
          <w:rFonts w:hint="eastAsia" w:ascii="仿宋_GB2312" w:hAnsi="微软雅黑" w:eastAsia="仿宋_GB2312" w:cs="仿宋_GB2312"/>
          <w:color w:val="000000" w:themeColor="text1"/>
          <w:kern w:val="0"/>
          <w:sz w:val="28"/>
          <w:szCs w:val="28"/>
          <w:shd w:val="clear" w:color="auto" w:fill="FFFFFF"/>
          <w:lang w:val="en-US" w:eastAsia="zh-CN"/>
          <w14:textFill>
            <w14:solidFill>
              <w14:schemeClr w14:val="tx1"/>
            </w14:solidFill>
          </w14:textFill>
        </w:rPr>
        <w:t>涉事单位</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并启动本单位辐射事故应急方案，采取必要的先期应急处置措施。市辐射应急办接到事故所在地报告后，立即初步判断事故级别，提出启动辐射应急预案的建议，报告市辐射应急指挥部和上一级辐射事故应急办公室。</w:t>
      </w:r>
    </w:p>
    <w:p>
      <w:pPr>
        <w:widowControl/>
        <w:spacing w:line="23" w:lineRule="atLeast"/>
        <w:ind w:firstLine="560"/>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2</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）各级政府及部门信息报告</w:t>
      </w:r>
    </w:p>
    <w:p>
      <w:pPr>
        <w:widowControl/>
        <w:spacing w:line="23" w:lineRule="atLeast"/>
        <w:ind w:firstLine="560"/>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 xml:space="preserve">事发地县级生态环境部门接报后，初步核实、分析研判、分类报告。①对初步认定为一般辐射事故的，应当在 2小时内向本级人民政府和市生态环境局报告。②对初步认定为较大辐射事故的，应当在 </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 xml:space="preserve">2 </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小时内向本级人民政府和市生态环境局报告，市生态环境局接报后同时报宣城市人民政府和省生态环境厅（报告格式见附件 </w:t>
      </w:r>
      <w:r>
        <w:rPr>
          <w:rFonts w:hint="eastAsia" w:ascii="仿宋_GB2312" w:hAnsi="微软雅黑" w:eastAsia="仿宋_GB2312" w:cs="仿宋_GB2312"/>
          <w:color w:val="000000" w:themeColor="text1"/>
          <w:kern w:val="0"/>
          <w:sz w:val="28"/>
          <w:szCs w:val="28"/>
          <w:shd w:val="clear" w:color="auto" w:fill="FFFFFF"/>
          <w:lang w:eastAsia="zh-CN"/>
          <w14:textFill>
            <w14:solidFill>
              <w14:schemeClr w14:val="tx1"/>
            </w14:solidFill>
          </w14:textFill>
        </w:rPr>
        <w:t>：</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宣城市</w:t>
      </w:r>
      <w:r>
        <w:rPr>
          <w:rFonts w:hint="default" w:ascii="仿宋_GB2312" w:hAnsi="微软雅黑" w:eastAsia="仿宋_GB2312" w:cs="仿宋_GB2312"/>
          <w:color w:val="000000" w:themeColor="text1"/>
          <w:kern w:val="0"/>
          <w:sz w:val="28"/>
          <w:szCs w:val="28"/>
          <w:shd w:val="clear" w:color="auto" w:fill="FFFFFF"/>
          <w14:textFill>
            <w14:solidFill>
              <w14:schemeClr w14:val="tx1"/>
            </w14:solidFill>
          </w14:textFill>
        </w:rPr>
        <w:t>辐射事故信息发布文稿</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 </w:t>
      </w:r>
      <w:r>
        <w:rPr>
          <w:rFonts w:hint="eastAsia" w:ascii="仿宋_GB2312" w:hAnsi="微软雅黑" w:eastAsia="仿宋_GB2312" w:cs="仿宋_GB2312"/>
          <w:color w:val="000000" w:themeColor="text1"/>
          <w:kern w:val="0"/>
          <w:sz w:val="28"/>
          <w:szCs w:val="28"/>
          <w:u w:val="single"/>
          <w:shd w:val="clear" w:color="auto" w:fill="FFFFFF"/>
          <w14:textFill>
            <w14:solidFill>
              <w14:schemeClr w14:val="tx1"/>
            </w14:solidFill>
          </w14:textFill>
        </w:rPr>
        <w:t>            </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辐射事故初始报告表（</w:t>
      </w:r>
      <w:r>
        <w:rPr>
          <w:rFonts w:hint="eastAsia" w:ascii="仿宋_GB2312" w:hAnsi="微软雅黑" w:eastAsia="仿宋_GB2312" w:cs="仿宋_GB2312"/>
          <w:color w:val="000000" w:themeColor="text1"/>
          <w:kern w:val="0"/>
          <w:sz w:val="28"/>
          <w:szCs w:val="28"/>
          <w:shd w:val="clear" w:color="auto" w:fill="FFFFFF"/>
          <w:lang w:val="en-US" w:eastAsia="zh-CN"/>
          <w14:textFill>
            <w14:solidFill>
              <w14:schemeClr w14:val="tx1"/>
            </w14:solidFill>
          </w14:textFill>
        </w:rPr>
        <w:t>部门</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 xml:space="preserve">））。③对初步认定为重大、特别重大辐射事故的，应当在 </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 xml:space="preserve">2 </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小时内向本级人民政府及市生态环境局报告，市生态环境局接报后2小时内报省生态环境厅。特殊情况下，事发地县级人民政府可直接向省人民政府或国务院报告。</w:t>
      </w:r>
    </w:p>
    <w:p>
      <w:pPr>
        <w:widowControl/>
        <w:spacing w:line="23" w:lineRule="atLeast"/>
        <w:ind w:firstLine="560"/>
        <w:rPr>
          <w:color w:val="000000" w:themeColor="text1"/>
          <w14:textFill>
            <w14:solidFill>
              <w14:schemeClr w14:val="tx1"/>
            </w14:solidFill>
          </w14:textFill>
        </w:rPr>
      </w:pP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5.</w:t>
      </w:r>
      <w:r>
        <w:rPr>
          <w:rFonts w:hint="eastAsia"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.6</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报告方式与内容</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辐射事故的报告分为初报、续报和处理结果报告三类。</w:t>
      </w:r>
    </w:p>
    <w:p>
      <w:pPr>
        <w:widowControl/>
        <w:ind w:firstLine="560" w:firstLineChars="200"/>
        <w:jc w:val="left"/>
        <w:rPr>
          <w:color w:val="000000" w:themeColor="text1"/>
          <w14:textFill>
            <w14:solidFill>
              <w14:schemeClr w14:val="tx1"/>
            </w14:solidFill>
          </w14:textFill>
        </w:rPr>
      </w:pP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（1）</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初报</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初报可采用电话、网络、书面等形式报告。主要内容包括辐射事故的类型，事故发生时间、地点、污染源类型、污染方式、污染范围，人员受辐射照射等初步情况；</w:t>
      </w:r>
    </w:p>
    <w:p>
      <w:pPr>
        <w:widowControl/>
        <w:spacing w:line="23" w:lineRule="atLeast"/>
        <w:ind w:firstLine="560"/>
        <w:rPr>
          <w:color w:val="000000" w:themeColor="text1"/>
          <w14:textFill>
            <w14:solidFill>
              <w14:schemeClr w14:val="tx1"/>
            </w14:solidFill>
          </w14:textFill>
        </w:rPr>
      </w:pP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（2）</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续报</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在初报的基础上报告有关事故的确切数据，事故发生的原因、过程、进展情况及采取的应急措施等基本情况；</w:t>
      </w:r>
    </w:p>
    <w:p>
      <w:pPr>
        <w:widowControl/>
        <w:spacing w:line="23" w:lineRule="atLeast"/>
        <w:ind w:firstLine="560"/>
        <w:rPr>
          <w:color w:val="000000" w:themeColor="text1"/>
          <w14:textFill>
            <w14:solidFill>
              <w14:schemeClr w14:val="tx1"/>
            </w14:solidFill>
          </w14:textFill>
        </w:rPr>
      </w:pP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（3）</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处理结果报告</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采用书面报告，在初报和续报的基础上，报告处理事故采取的应急措施、过程和结果，事故潜在或间接的危害、社会影响、处理后的遗留问题、事故经验教训，参加应急响应工作的有关部门和工作内容，需开展的善后工作，并填写辐射事故处理结果</w:t>
      </w:r>
      <w:r>
        <w:rPr>
          <w:rFonts w:hint="eastAsia" w:ascii="仿宋_GB2312" w:hAnsi="微软雅黑" w:eastAsia="仿宋_GB2312" w:cs="仿宋_GB2312"/>
          <w:color w:val="000000" w:themeColor="text1"/>
          <w:kern w:val="0"/>
          <w:sz w:val="28"/>
          <w:szCs w:val="28"/>
          <w:shd w:val="clear" w:color="auto" w:fill="FFFFFF"/>
          <w:lang w:eastAsia="zh-CN"/>
          <w14:textFill>
            <w14:solidFill>
              <w14:schemeClr w14:val="tx1"/>
            </w14:solidFill>
          </w14:textFill>
        </w:rPr>
        <w:t>（</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报告格式见附件 </w:t>
      </w:r>
      <w:r>
        <w:rPr>
          <w:rFonts w:hint="eastAsia" w:ascii="仿宋_GB2312" w:hAnsi="微软雅黑" w:eastAsia="仿宋_GB2312" w:cs="仿宋_GB2312"/>
          <w:color w:val="000000" w:themeColor="text1"/>
          <w:kern w:val="0"/>
          <w:sz w:val="28"/>
          <w:szCs w:val="28"/>
          <w:shd w:val="clear" w:color="auto" w:fill="FFFFFF"/>
          <w:lang w:eastAsia="zh-CN"/>
          <w14:textFill>
            <w14:solidFill>
              <w14:schemeClr w14:val="tx1"/>
            </w14:solidFill>
          </w14:textFill>
        </w:rPr>
        <w:t>：</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宣城市</w:t>
      </w:r>
      <w:r>
        <w:rPr>
          <w:rFonts w:hint="default" w:ascii="仿宋_GB2312" w:hAnsi="微软雅黑" w:eastAsia="仿宋_GB2312" w:cs="仿宋_GB2312"/>
          <w:color w:val="000000" w:themeColor="text1"/>
          <w:kern w:val="0"/>
          <w:sz w:val="28"/>
          <w:szCs w:val="28"/>
          <w:shd w:val="clear" w:color="auto" w:fill="FFFFFF"/>
          <w14:textFill>
            <w14:solidFill>
              <w14:schemeClr w14:val="tx1"/>
            </w14:solidFill>
          </w14:textFill>
        </w:rPr>
        <w:t>辐射事故信息发布文稿</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             辐射事故处理结果报告表</w:t>
      </w:r>
      <w:r>
        <w:rPr>
          <w:rFonts w:hint="eastAsia" w:ascii="仿宋_GB2312" w:hAnsi="微软雅黑" w:eastAsia="仿宋_GB2312" w:cs="仿宋_GB2312"/>
          <w:color w:val="000000" w:themeColor="text1"/>
          <w:kern w:val="0"/>
          <w:sz w:val="28"/>
          <w:szCs w:val="28"/>
          <w:shd w:val="clear" w:color="auto" w:fill="FFFFFF"/>
          <w:lang w:eastAsia="zh-CN"/>
          <w14:textFill>
            <w14:solidFill>
              <w14:schemeClr w14:val="tx1"/>
            </w14:solidFill>
          </w14:textFill>
        </w:rPr>
        <w:t>）</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等。</w:t>
      </w:r>
    </w:p>
    <w:p>
      <w:pPr>
        <w:widowControl/>
        <w:spacing w:line="23" w:lineRule="atLeast"/>
        <w:ind w:firstLine="560"/>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pPr>
      <w:bookmarkStart w:id="102" w:name="_Toc15207_WPSOffice_Level1"/>
      <w:bookmarkEnd w:id="102"/>
      <w:bookmarkStart w:id="103" w:name="_Toc112226323"/>
      <w:bookmarkEnd w:id="103"/>
      <w:bookmarkStart w:id="104" w:name="_Toc80951504"/>
      <w:bookmarkEnd w:id="104"/>
      <w:bookmarkStart w:id="105" w:name="_Toc11892_WPSOffice_Level1"/>
      <w:bookmarkEnd w:id="105"/>
      <w:bookmarkStart w:id="106" w:name="_Toc80951505"/>
      <w:bookmarkStart w:id="107" w:name="_Toc1824100721_WPSOffice_Level1"/>
      <w:bookmarkStart w:id="108" w:name="_Toc331764611_WPSOffice_Level1"/>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5.3</w:t>
      </w:r>
      <w:bookmarkEnd w:id="106"/>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响应措施</w:t>
      </w:r>
      <w:bookmarkEnd w:id="107"/>
      <w:bookmarkEnd w:id="108"/>
    </w:p>
    <w:p>
      <w:pPr>
        <w:widowControl/>
        <w:spacing w:line="23" w:lineRule="atLeast"/>
        <w:ind w:firstLine="560"/>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5.3.1  先期处置</w:t>
      </w:r>
    </w:p>
    <w:p>
      <w:pPr>
        <w:widowControl/>
        <w:spacing w:line="23" w:lineRule="atLeast"/>
        <w:ind w:firstLine="560"/>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 xml:space="preserve">辐射事故发生后，事故单位应当立即启动本单位的辐射事故应急预案，开展先期处置，采取合理、有效措施全力控制事态发展，最大限度避免人员伤亡，降低应急人员受照剂量，并向有关部门报告。 </w:t>
      </w:r>
    </w:p>
    <w:p>
      <w:pPr>
        <w:widowControl/>
        <w:spacing w:line="23" w:lineRule="atLeast"/>
        <w:ind w:firstLine="560"/>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事发地市、县（市、区）人民政府接到事故信息后，应立即指挥、协调有关部门和单位开展先期处置，紧急疏散周边人员，对事故现场进行警戒，在确保救援人员安全的前提下采取有效措施，控制或切断放射性污染扩散的途径，控制事态发展，减少和消除污染</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w:t>
      </w:r>
    </w:p>
    <w:p>
      <w:pPr>
        <w:widowControl/>
        <w:spacing w:line="23" w:lineRule="atLeast"/>
        <w:ind w:firstLine="560"/>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 xml:space="preserve">5.3.2 处置措施 </w:t>
      </w:r>
    </w:p>
    <w:p>
      <w:pPr>
        <w:widowControl/>
        <w:ind w:firstLine="560" w:firstLineChars="200"/>
        <w:jc w:val="left"/>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各级辐射事故应急机构可根据工作需要和事故诱因及发展态势，采取以下处置措施。</w:t>
      </w:r>
    </w:p>
    <w:p>
      <w:pPr>
        <w:widowControl/>
        <w:ind w:firstLine="560" w:firstLineChars="200"/>
        <w:jc w:val="left"/>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1）应急监测。发生辐射事故后，生态环境等相关部门应立即赶赴现场，根据事故单位提供的信息研判分析，制定监测方案、开展应急监测、确定内外警戒区范围和进出控制点，同时为辐射事故应急决策提供依据</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必要时请求省生态环境厅提供辐射环境应急监测技术支援，或组织</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其他监测</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力量直接参与辐射事故的辐射环境应急监测工作。</w:t>
      </w:r>
    </w:p>
    <w:p>
      <w:pPr>
        <w:widowControl/>
        <w:ind w:firstLine="560" w:firstLineChars="200"/>
        <w:jc w:val="left"/>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（2）医学救援。迅速组织医疗资源和力量，搜救遇险人员，对伤病人员进行现场救护；根据伤病人员放射损伤程度，送到相应医疗机构进行治疗；开展受污染人员的去污洗消工作；视情增</w:t>
      </w:r>
      <w:r>
        <w:rPr>
          <w:rFonts w:ascii="仿宋_GB2312" w:hAnsi="仿宋_GB2312" w:eastAsia="仿宋_GB2312" w:cs="仿宋_GB2312"/>
          <w:color w:val="000000" w:themeColor="text1"/>
          <w:kern w:val="0"/>
          <w:sz w:val="31"/>
          <w:szCs w:val="31"/>
          <w14:textFill>
            <w14:solidFill>
              <w14:schemeClr w14:val="tx1"/>
            </w14:solidFill>
          </w14:textFill>
        </w:rPr>
        <w:t>派医疗卫生专家、调配急需药品和设备。必要时，组织开展公众心理干预</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 xml:space="preserve">和健康教育。 </w:t>
      </w:r>
    </w:p>
    <w:p>
      <w:pPr>
        <w:widowControl/>
        <w:ind w:firstLine="560" w:firstLineChars="200"/>
        <w:jc w:val="left"/>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3）隔离疏散。根据事发地及周边的自然条件、社会环境和辐射监测结果，设立内外警戒区、交通管制区并做好人员、车辆管控；有组织、有秩序地及时疏散转移并妥善安置受到辐射威胁和可能受到较高剂量照射的人员</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w:t>
      </w:r>
    </w:p>
    <w:p>
      <w:pPr>
        <w:widowControl/>
        <w:ind w:firstLine="560" w:firstLineChars="200"/>
        <w:jc w:val="left"/>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 xml:space="preserve">（4）舆论引导。借助电视、广播、报纸、网络等途径，运用微博、微信、移动客户端等新媒体平台，通过发布新闻通稿、举行新闻发布会等形式，主动、及时、准确向社会发布事故信息和应对情况，回应社会关切，澄清不实信息，正确引导社会舆论；根据辐射事故的性质、特点，告知群众应采取的安全防护措施，指导公众做好个人防护。 </w:t>
      </w:r>
    </w:p>
    <w:p>
      <w:pPr>
        <w:widowControl/>
        <w:ind w:firstLine="560" w:firstLineChars="200"/>
        <w:jc w:val="left"/>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5）维护稳定。加强受影响区域社会治安管理，严厉打击借机传播谣言制造社会恐慌、扰乱公共秩序等违法犯罪行为；加强转移人员安置点、储备物资存放点等重点区域治安管控；做好矛盾纠纷化解、政策解答和法律服务工作，防止出现群体性事件，维护社会稳定。</w:t>
      </w:r>
    </w:p>
    <w:p>
      <w:pPr>
        <w:widowControl/>
        <w:ind w:firstLine="560" w:firstLineChars="200"/>
        <w:jc w:val="left"/>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pPr>
      <w:bookmarkStart w:id="109" w:name="_Toc267796040_WPSOffice_Level1"/>
      <w:bookmarkStart w:id="110" w:name="_Toc143650805_WPSOffice_Level1"/>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 xml:space="preserve">5.4  </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外部支援</w:t>
      </w:r>
      <w:bookmarkEnd w:id="109"/>
      <w:bookmarkEnd w:id="110"/>
    </w:p>
    <w:p>
      <w:pPr>
        <w:widowControl/>
        <w:spacing w:line="23" w:lineRule="atLeast"/>
        <w:ind w:firstLine="560"/>
        <w:rPr>
          <w:color w:val="000000" w:themeColor="text1"/>
          <w14:textFill>
            <w14:solidFill>
              <w14:schemeClr w14:val="tx1"/>
            </w14:solidFill>
          </w14:textFill>
        </w:rPr>
      </w:pP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根据事故处置情况，</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必要</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时</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，可以向上一级辐射事故救援体系寻求外部支援。</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外部支援力量作为各专业组的后续投入力量参与应急工作，主要包括专家队伍、专业技术队伍、特殊装备等。</w:t>
      </w:r>
    </w:p>
    <w:p>
      <w:pPr>
        <w:pStyle w:val="3"/>
        <w:widowControl/>
        <w:spacing w:beforeAutospacing="0" w:afterAutospacing="0" w:line="360" w:lineRule="atLeast"/>
        <w:ind w:firstLine="560"/>
        <w:jc w:val="both"/>
        <w:rPr>
          <w:rFonts w:hint="default"/>
          <w:b w:val="0"/>
          <w:bCs w:val="0"/>
          <w:color w:val="000000" w:themeColor="text1"/>
          <w:sz w:val="24"/>
          <w:szCs w:val="24"/>
          <w14:textFill>
            <w14:solidFill>
              <w14:schemeClr w14:val="tx1"/>
            </w14:solidFill>
          </w14:textFill>
        </w:rPr>
      </w:pPr>
      <w:bookmarkStart w:id="111" w:name="_Toc80951507"/>
      <w:bookmarkEnd w:id="111"/>
      <w:bookmarkStart w:id="112" w:name="_Toc80951506"/>
      <w:bookmarkEnd w:id="112"/>
      <w:bookmarkStart w:id="113" w:name="_Toc17140_WPSOffice_Level1"/>
      <w:bookmarkEnd w:id="113"/>
      <w:bookmarkStart w:id="114" w:name="_Toc25006_WPSOffice_Level1"/>
      <w:bookmarkEnd w:id="114"/>
      <w:bookmarkStart w:id="115" w:name="_Toc112226325"/>
      <w:bookmarkStart w:id="116" w:name="_Toc1855970076_WPSOffice_Level1"/>
      <w:bookmarkStart w:id="117" w:name="_Toc126326781_WPSOffice_Level1"/>
      <w:r>
        <w:rPr>
          <w:rFonts w:hint="default" w:ascii="Times New Roman" w:hAnsi="Times New Roman"/>
          <w:b w:val="0"/>
          <w:bCs w:val="0"/>
          <w:color w:val="000000" w:themeColor="text1"/>
          <w:sz w:val="28"/>
          <w:szCs w:val="28"/>
          <w:shd w:val="clear" w:color="auto" w:fill="FFFFFF"/>
          <w14:textFill>
            <w14:solidFill>
              <w14:schemeClr w14:val="tx1"/>
            </w14:solidFill>
          </w14:textFill>
        </w:rPr>
        <w:t>5.</w:t>
      </w:r>
      <w:bookmarkEnd w:id="115"/>
      <w:r>
        <w:rPr>
          <w:rFonts w:ascii="Times New Roman" w:hAnsi="Times New Roman"/>
          <w:b w:val="0"/>
          <w:bCs w:val="0"/>
          <w:color w:val="000000" w:themeColor="text1"/>
          <w:sz w:val="28"/>
          <w:szCs w:val="28"/>
          <w:shd w:val="clear" w:color="auto" w:fill="FFFFFF"/>
          <w14:textFill>
            <w14:solidFill>
              <w14:schemeClr w14:val="tx1"/>
            </w14:solidFill>
          </w14:textFill>
        </w:rPr>
        <w:t>5</w:t>
      </w:r>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安全防护</w:t>
      </w:r>
      <w:bookmarkEnd w:id="116"/>
      <w:bookmarkEnd w:id="117"/>
    </w:p>
    <w:p>
      <w:pPr>
        <w:widowControl/>
        <w:spacing w:line="23" w:lineRule="atLeast"/>
        <w:ind w:firstLine="560"/>
        <w:rPr>
          <w:color w:val="000000" w:themeColor="text1"/>
          <w14:textFill>
            <w14:solidFill>
              <w14:schemeClr w14:val="tx1"/>
            </w14:solidFill>
          </w14:textFill>
        </w:rPr>
      </w:pP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5.</w:t>
      </w:r>
      <w:r>
        <w:rPr>
          <w:rFonts w:hint="eastAsia" w:ascii="Times New Roman" w:hAnsi="Times New Roman" w:eastAsia="微软雅黑" w:cs="Times New Roman"/>
          <w:color w:val="000000" w:themeColor="text1"/>
          <w:kern w:val="0"/>
          <w:sz w:val="28"/>
          <w:szCs w:val="28"/>
          <w:shd w:val="clear" w:color="auto" w:fill="FFFFFF"/>
          <w14:textFill>
            <w14:solidFill>
              <w14:schemeClr w14:val="tx1"/>
            </w14:solidFill>
          </w14:textFill>
        </w:rPr>
        <w:t>5</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.1</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应急人员的安全防护</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现场应急工作人员应根据不同类型辐射事故的特点，配备相应的专业防护装备，采取安全防护措施。</w:t>
      </w:r>
    </w:p>
    <w:p>
      <w:pPr>
        <w:widowControl/>
        <w:spacing w:line="23" w:lineRule="atLeast"/>
        <w:ind w:firstLine="560"/>
        <w:rPr>
          <w:color w:val="000000" w:themeColor="text1"/>
          <w14:textFill>
            <w14:solidFill>
              <w14:schemeClr w14:val="tx1"/>
            </w14:solidFill>
          </w14:textFill>
        </w:rPr>
      </w:pP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5.</w:t>
      </w:r>
      <w:r>
        <w:rPr>
          <w:rFonts w:hint="eastAsia" w:ascii="Times New Roman" w:hAnsi="Times New Roman" w:eastAsia="微软雅黑" w:cs="Times New Roman"/>
          <w:color w:val="000000" w:themeColor="text1"/>
          <w:kern w:val="0"/>
          <w:sz w:val="28"/>
          <w:szCs w:val="28"/>
          <w:shd w:val="clear" w:color="auto" w:fill="FFFFFF"/>
          <w14:textFill>
            <w14:solidFill>
              <w14:schemeClr w14:val="tx1"/>
            </w14:solidFill>
          </w14:textFill>
        </w:rPr>
        <w:t>5</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公众的安全防护</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现场协调组指导协助辖区内</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县市区</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人民政府、经</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开区管委会</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辐射事故应急机构负责公众的安全防护工作：</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1</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）根据辐射事故的性质、特点，向事故发生地人民政府</w:t>
      </w:r>
      <w:r>
        <w:rPr>
          <w:rFonts w:hint="eastAsia" w:ascii="仿宋_GB2312" w:hAnsi="微软雅黑" w:eastAsia="仿宋_GB2312" w:cs="仿宋_GB2312"/>
          <w:color w:val="000000" w:themeColor="text1"/>
          <w:kern w:val="0"/>
          <w:sz w:val="28"/>
          <w:szCs w:val="28"/>
          <w:shd w:val="clear" w:color="auto" w:fill="FFFFFF"/>
          <w:lang w:eastAsia="zh-CN"/>
          <w14:textFill>
            <w14:solidFill>
              <w14:schemeClr w14:val="tx1"/>
            </w14:solidFill>
          </w14:textFill>
        </w:rPr>
        <w:t>、</w:t>
      </w:r>
      <w:r>
        <w:rPr>
          <w:rFonts w:hint="eastAsia" w:ascii="仿宋_GB2312" w:hAnsi="微软雅黑" w:eastAsia="仿宋_GB2312" w:cs="仿宋_GB2312"/>
          <w:color w:val="000000" w:themeColor="text1"/>
          <w:kern w:val="0"/>
          <w:sz w:val="28"/>
          <w:szCs w:val="28"/>
          <w:shd w:val="clear" w:color="auto" w:fill="FFFFFF"/>
          <w:lang w:val="en-US" w:eastAsia="zh-CN"/>
          <w14:textFill>
            <w14:solidFill>
              <w14:schemeClr w14:val="tx1"/>
            </w14:solidFill>
          </w14:textFill>
        </w:rPr>
        <w:t>经开区</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管委会提出公众安全防护措施指导意见；</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）根据事发时当地的气象、地理环境、人员密度等情况，提出污染范围控制建议，确定公众疏散的方式，指定有关部门组织群众安全疏散撤离；</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3</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）在事发地安全边界之外，设立紧急避难场所；</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4</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）必要时，配合有关部门对易失控的放射源实施收贮。</w:t>
      </w:r>
    </w:p>
    <w:p>
      <w:pPr>
        <w:pStyle w:val="3"/>
        <w:widowControl/>
        <w:spacing w:beforeAutospacing="0" w:afterAutospacing="0" w:line="360" w:lineRule="atLeast"/>
        <w:ind w:firstLine="560"/>
        <w:jc w:val="both"/>
        <w:rPr>
          <w:rFonts w:hint="default"/>
          <w:b w:val="0"/>
          <w:bCs w:val="0"/>
          <w:color w:val="000000" w:themeColor="text1"/>
          <w:sz w:val="24"/>
          <w:szCs w:val="24"/>
          <w14:textFill>
            <w14:solidFill>
              <w14:schemeClr w14:val="tx1"/>
            </w14:solidFill>
          </w14:textFill>
        </w:rPr>
      </w:pPr>
      <w:bookmarkStart w:id="118" w:name="_Toc16707_WPSOffice_Level1"/>
      <w:bookmarkEnd w:id="118"/>
      <w:bookmarkStart w:id="119" w:name="_Toc80951508"/>
      <w:bookmarkEnd w:id="119"/>
      <w:bookmarkStart w:id="120" w:name="_Toc112226326"/>
      <w:bookmarkStart w:id="121" w:name="_Toc706903725_WPSOffice_Level1"/>
      <w:bookmarkStart w:id="122" w:name="_Toc83222951_WPSOffice_Level1"/>
      <w:r>
        <w:rPr>
          <w:rFonts w:hint="default" w:ascii="Times New Roman" w:hAnsi="Times New Roman"/>
          <w:b w:val="0"/>
          <w:bCs w:val="0"/>
          <w:color w:val="000000" w:themeColor="text1"/>
          <w:sz w:val="28"/>
          <w:szCs w:val="28"/>
          <w:shd w:val="clear" w:color="auto" w:fill="FFFFFF"/>
          <w14:textFill>
            <w14:solidFill>
              <w14:schemeClr w14:val="tx1"/>
            </w14:solidFill>
          </w14:textFill>
        </w:rPr>
        <w:t>5.</w:t>
      </w:r>
      <w:bookmarkEnd w:id="120"/>
      <w:r>
        <w:rPr>
          <w:rFonts w:ascii="Times New Roman" w:hAnsi="Times New Roman"/>
          <w:b w:val="0"/>
          <w:bCs w:val="0"/>
          <w:color w:val="000000" w:themeColor="text1"/>
          <w:sz w:val="28"/>
          <w:szCs w:val="28"/>
          <w:shd w:val="clear" w:color="auto" w:fill="FFFFFF"/>
          <w14:textFill>
            <w14:solidFill>
              <w14:schemeClr w14:val="tx1"/>
            </w14:solidFill>
          </w14:textFill>
        </w:rPr>
        <w:t>6</w:t>
      </w:r>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通信联络</w:t>
      </w:r>
      <w:bookmarkEnd w:id="121"/>
      <w:bookmarkEnd w:id="122"/>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辐射事故应急办公室负责应急期间的通信联络，保证通信渠道畅通。主要包括本级辐射事故应急办公室内部的联络，与本级辐射事故应急指挥部的联络，与事故责任单位的联络等。</w:t>
      </w:r>
    </w:p>
    <w:p>
      <w:pPr>
        <w:pStyle w:val="3"/>
        <w:widowControl/>
        <w:spacing w:beforeAutospacing="0" w:afterAutospacing="0" w:line="360" w:lineRule="atLeast"/>
        <w:ind w:firstLine="560"/>
        <w:jc w:val="both"/>
        <w:rPr>
          <w:rFonts w:hint="default"/>
          <w:b w:val="0"/>
          <w:bCs w:val="0"/>
          <w:color w:val="000000" w:themeColor="text1"/>
          <w:sz w:val="24"/>
          <w:szCs w:val="24"/>
          <w14:textFill>
            <w14:solidFill>
              <w14:schemeClr w14:val="tx1"/>
            </w14:solidFill>
          </w14:textFill>
        </w:rPr>
      </w:pPr>
      <w:bookmarkStart w:id="123" w:name="_Toc80951509"/>
      <w:bookmarkEnd w:id="123"/>
      <w:bookmarkStart w:id="124" w:name="_Toc15849_WPSOffice_Level1"/>
      <w:bookmarkEnd w:id="124"/>
      <w:bookmarkStart w:id="125" w:name="_Toc112226327"/>
      <w:bookmarkStart w:id="126" w:name="_Toc885809029_WPSOffice_Level1"/>
      <w:bookmarkStart w:id="127" w:name="_Toc483297888_WPSOffice_Level1"/>
      <w:r>
        <w:rPr>
          <w:rFonts w:hint="default" w:ascii="Times New Roman" w:hAnsi="Times New Roman"/>
          <w:b w:val="0"/>
          <w:bCs w:val="0"/>
          <w:color w:val="000000" w:themeColor="text1"/>
          <w:sz w:val="28"/>
          <w:szCs w:val="28"/>
          <w:shd w:val="clear" w:color="auto" w:fill="FFFFFF"/>
          <w14:textFill>
            <w14:solidFill>
              <w14:schemeClr w14:val="tx1"/>
            </w14:solidFill>
          </w14:textFill>
        </w:rPr>
        <w:t>5.</w:t>
      </w:r>
      <w:bookmarkEnd w:id="125"/>
      <w:r>
        <w:rPr>
          <w:rFonts w:ascii="Times New Roman" w:hAnsi="Times New Roman"/>
          <w:b w:val="0"/>
          <w:bCs w:val="0"/>
          <w:color w:val="000000" w:themeColor="text1"/>
          <w:sz w:val="28"/>
          <w:szCs w:val="28"/>
          <w:shd w:val="clear" w:color="auto" w:fill="FFFFFF"/>
          <w14:textFill>
            <w14:solidFill>
              <w14:schemeClr w14:val="tx1"/>
            </w14:solidFill>
          </w14:textFill>
        </w:rPr>
        <w:t>7</w:t>
      </w:r>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事故通报与信息发布</w:t>
      </w:r>
      <w:bookmarkEnd w:id="126"/>
      <w:bookmarkEnd w:id="127"/>
    </w:p>
    <w:p>
      <w:pPr>
        <w:widowControl/>
        <w:spacing w:line="23" w:lineRule="atLeast"/>
        <w:ind w:firstLine="560"/>
        <w:rPr>
          <w:color w:val="000000" w:themeColor="text1"/>
          <w14:textFill>
            <w14:solidFill>
              <w14:schemeClr w14:val="tx1"/>
            </w14:solidFill>
          </w14:textFill>
        </w:rPr>
      </w:pP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5.</w:t>
      </w:r>
      <w:r>
        <w:rPr>
          <w:rFonts w:hint="eastAsia" w:ascii="Times New Roman" w:hAnsi="Times New Roman" w:eastAsia="微软雅黑" w:cs="Times New Roman"/>
          <w:color w:val="000000" w:themeColor="text1"/>
          <w:kern w:val="0"/>
          <w:sz w:val="28"/>
          <w:szCs w:val="28"/>
          <w:shd w:val="clear" w:color="auto" w:fill="FFFFFF"/>
          <w14:textFill>
            <w14:solidFill>
              <w14:schemeClr w14:val="tx1"/>
            </w14:solidFill>
          </w14:textFill>
        </w:rPr>
        <w:t>7</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.1</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事故通报</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1</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）事故发生地辐射应急指挥部在应急响应的同时，应及时向毗邻和可能波及的其他辖区辐射事故应急机构通报情况；</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）接到辐射事故通报的非事发地市级辐射事故应急机构，应视情况及时通知本行政区域内有关部门采取必要的应对措施，并向本级政府报告。</w:t>
      </w:r>
    </w:p>
    <w:p>
      <w:pPr>
        <w:widowControl/>
        <w:spacing w:line="23" w:lineRule="atLeast"/>
        <w:ind w:firstLine="560"/>
        <w:rPr>
          <w:color w:val="000000" w:themeColor="text1"/>
          <w14:textFill>
            <w14:solidFill>
              <w14:schemeClr w14:val="tx1"/>
            </w14:solidFill>
          </w14:textFill>
        </w:rPr>
      </w:pP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5.</w:t>
      </w:r>
      <w:r>
        <w:rPr>
          <w:rFonts w:hint="eastAsia" w:ascii="Times New Roman" w:hAnsi="Times New Roman" w:eastAsia="微软雅黑" w:cs="Times New Roman"/>
          <w:color w:val="000000" w:themeColor="text1"/>
          <w:kern w:val="0"/>
          <w:sz w:val="28"/>
          <w:szCs w:val="28"/>
          <w:shd w:val="clear" w:color="auto" w:fill="FFFFFF"/>
          <w14:textFill>
            <w14:solidFill>
              <w14:schemeClr w14:val="tx1"/>
            </w14:solidFill>
          </w14:textFill>
        </w:rPr>
        <w:t>7</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信息发布</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市人民政府负责或指导辖区内</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县市区</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人民政府、经</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开</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区辐射事故信息的统一对外发布工作。辐射事故发生后，应及时发布准确、权威的信息，正确引导社会舆论。</w:t>
      </w:r>
    </w:p>
    <w:p>
      <w:pPr>
        <w:pStyle w:val="3"/>
        <w:widowControl/>
        <w:spacing w:beforeAutospacing="0" w:afterAutospacing="0" w:line="360" w:lineRule="atLeast"/>
        <w:ind w:firstLine="560"/>
        <w:jc w:val="both"/>
        <w:rPr>
          <w:rFonts w:hint="default"/>
          <w:b w:val="0"/>
          <w:bCs w:val="0"/>
          <w:color w:val="000000" w:themeColor="text1"/>
          <w:sz w:val="24"/>
          <w:szCs w:val="24"/>
          <w14:textFill>
            <w14:solidFill>
              <w14:schemeClr w14:val="tx1"/>
            </w14:solidFill>
          </w14:textFill>
        </w:rPr>
      </w:pPr>
      <w:bookmarkStart w:id="128" w:name="_Toc80951510"/>
      <w:bookmarkEnd w:id="128"/>
      <w:bookmarkStart w:id="129" w:name="_Toc112226328"/>
      <w:bookmarkEnd w:id="129"/>
      <w:bookmarkStart w:id="130" w:name="_Toc18874_WPSOffice_Level1"/>
      <w:bookmarkStart w:id="131" w:name="_Toc592550279_WPSOffice_Level1"/>
      <w:bookmarkStart w:id="132" w:name="_Toc926894366_WPSOffice_Level1"/>
      <w:r>
        <w:rPr>
          <w:rFonts w:hint="default" w:ascii="Times New Roman" w:hAnsi="Times New Roman"/>
          <w:b w:val="0"/>
          <w:bCs w:val="0"/>
          <w:color w:val="000000" w:themeColor="text1"/>
          <w:sz w:val="28"/>
          <w:szCs w:val="28"/>
          <w:shd w:val="clear" w:color="auto" w:fill="FFFFFF"/>
          <w14:textFill>
            <w14:solidFill>
              <w14:schemeClr w14:val="tx1"/>
            </w14:solidFill>
          </w14:textFill>
        </w:rPr>
        <w:t>5.</w:t>
      </w:r>
      <w:bookmarkEnd w:id="130"/>
      <w:r>
        <w:rPr>
          <w:rFonts w:ascii="Times New Roman" w:hAnsi="Times New Roman"/>
          <w:b w:val="0"/>
          <w:bCs w:val="0"/>
          <w:color w:val="000000" w:themeColor="text1"/>
          <w:sz w:val="28"/>
          <w:szCs w:val="28"/>
          <w:shd w:val="clear" w:color="auto" w:fill="FFFFFF"/>
          <w14:textFill>
            <w14:solidFill>
              <w14:schemeClr w14:val="tx1"/>
            </w14:solidFill>
          </w14:textFill>
        </w:rPr>
        <w:t>8</w:t>
      </w:r>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应急终止</w:t>
      </w:r>
      <w:bookmarkEnd w:id="131"/>
      <w:bookmarkEnd w:id="132"/>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应急响应终止应具备下列条件：</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1</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）环境放射性水平已降至国家规定的限值以内；</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）辐射事故所造成的危害已被消除或可控；</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3</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）事故现场的各种专业应急处置行动已无继续必要。</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特别重大、重大辐射事故由省辐射事故应急指挥部依据应急处置情况提出应急响应终止建议，报省人民政府批准后，授权宣布应急响应终止。</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较大辐射事故由市辐射事故应急指挥部根据事件处置情况提出应急响应终止的建议，报本级政府批准后，宣布应急响应终止。</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一般辐射事故由事发地</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县市区</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人民政府、经开区辐射事故应急指挥部根据</w:t>
      </w:r>
      <w:r>
        <w:rPr>
          <w:rFonts w:hint="eastAsia" w:ascii="仿宋_GB2312" w:hAnsi="微软雅黑" w:eastAsia="仿宋_GB2312" w:cs="仿宋_GB2312"/>
          <w:color w:val="000000" w:themeColor="text1"/>
          <w:kern w:val="0"/>
          <w:sz w:val="28"/>
          <w:szCs w:val="28"/>
          <w:shd w:val="clear" w:color="auto" w:fill="FFFFFF"/>
          <w:lang w:val="en-US" w:eastAsia="zh-CN"/>
          <w14:textFill>
            <w14:solidFill>
              <w14:schemeClr w14:val="tx1"/>
            </w14:solidFill>
          </w14:textFill>
        </w:rPr>
        <w:t>事故</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处置情况提出应急响应终止的建议，报本级政府批准后，宣布应急响应终止。</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应急状态终止后，应进行应急总结和事故后续工作。</w:t>
      </w:r>
    </w:p>
    <w:p>
      <w:pPr>
        <w:widowControl/>
        <w:jc w:val="left"/>
        <w:rPr>
          <w:color w:val="000000" w:themeColor="text1"/>
          <w14:textFill>
            <w14:solidFill>
              <w14:schemeClr w14:val="tx1"/>
            </w14:solidFill>
          </w14:textFill>
        </w:rPr>
      </w:pPr>
    </w:p>
    <w:p>
      <w:pPr>
        <w:pStyle w:val="2"/>
        <w:widowControl/>
        <w:spacing w:before="120" w:beforeAutospacing="0" w:after="120" w:afterAutospacing="0" w:line="405" w:lineRule="atLeast"/>
        <w:jc w:val="both"/>
        <w:rPr>
          <w:rFonts w:hint="default"/>
          <w:b w:val="0"/>
          <w:bCs w:val="0"/>
          <w:color w:val="000000" w:themeColor="text1"/>
          <w:sz w:val="27"/>
          <w:szCs w:val="27"/>
          <w14:textFill>
            <w14:solidFill>
              <w14:schemeClr w14:val="tx1"/>
            </w14:solidFill>
          </w14:textFill>
        </w:rPr>
      </w:pPr>
      <w:bookmarkStart w:id="133" w:name="_Toc80951457"/>
      <w:bookmarkEnd w:id="133"/>
      <w:bookmarkStart w:id="134" w:name="_Toc80951511"/>
      <w:bookmarkEnd w:id="134"/>
      <w:bookmarkStart w:id="135" w:name="_Toc112226329"/>
      <w:bookmarkStart w:id="136" w:name="_Toc1292918647_WPSOffice_Level1"/>
      <w:bookmarkStart w:id="137" w:name="_Toc1689913085_WPSOffice_Level1"/>
      <w:r>
        <w:rPr>
          <w:rFonts w:hint="default" w:ascii="Times New Roman" w:hAnsi="Times New Roman"/>
          <w:color w:val="000000" w:themeColor="text1"/>
          <w:sz w:val="32"/>
          <w:szCs w:val="32"/>
          <w:shd w:val="clear" w:color="auto" w:fill="FFFFFF"/>
          <w14:textFill>
            <w14:solidFill>
              <w14:schemeClr w14:val="tx1"/>
            </w14:solidFill>
          </w14:textFill>
        </w:rPr>
        <w:t>6</w:t>
      </w:r>
      <w:bookmarkEnd w:id="135"/>
      <w:r>
        <w:rPr>
          <w:rFonts w:hint="default" w:ascii="仿宋_GB2312" w:eastAsia="仿宋_GB2312" w:cs="仿宋_GB2312"/>
          <w:color w:val="000000" w:themeColor="text1"/>
          <w:sz w:val="32"/>
          <w:szCs w:val="32"/>
          <w:shd w:val="clear" w:color="auto" w:fill="FFFFFF"/>
          <w14:textFill>
            <w14:solidFill>
              <w14:schemeClr w14:val="tx1"/>
            </w14:solidFill>
          </w14:textFill>
        </w:rPr>
        <w:t>后续处理</w:t>
      </w:r>
      <w:bookmarkEnd w:id="136"/>
      <w:bookmarkEnd w:id="137"/>
    </w:p>
    <w:p>
      <w:pPr>
        <w:pStyle w:val="3"/>
        <w:widowControl/>
        <w:spacing w:beforeAutospacing="0" w:afterAutospacing="0" w:line="360" w:lineRule="atLeast"/>
        <w:ind w:firstLine="560"/>
        <w:jc w:val="both"/>
        <w:rPr>
          <w:rFonts w:hint="default"/>
          <w:b w:val="0"/>
          <w:bCs w:val="0"/>
          <w:color w:val="000000" w:themeColor="text1"/>
          <w:sz w:val="24"/>
          <w:szCs w:val="24"/>
          <w14:textFill>
            <w14:solidFill>
              <w14:schemeClr w14:val="tx1"/>
            </w14:solidFill>
          </w14:textFill>
        </w:rPr>
      </w:pPr>
      <w:bookmarkStart w:id="138" w:name="_Toc25901_WPSOffice_Level1"/>
      <w:bookmarkEnd w:id="138"/>
      <w:bookmarkStart w:id="139" w:name="_Toc80951512"/>
      <w:bookmarkEnd w:id="139"/>
      <w:bookmarkStart w:id="140" w:name="_Toc112226330"/>
      <w:bookmarkStart w:id="141" w:name="_Toc1853891492_WPSOffice_Level1"/>
      <w:bookmarkStart w:id="142" w:name="_Toc988702659_WPSOffice_Level1"/>
      <w:r>
        <w:rPr>
          <w:rFonts w:hint="default" w:ascii="Times New Roman" w:hAnsi="Times New Roman"/>
          <w:b w:val="0"/>
          <w:bCs w:val="0"/>
          <w:color w:val="000000" w:themeColor="text1"/>
          <w:sz w:val="28"/>
          <w:szCs w:val="28"/>
          <w:shd w:val="clear" w:color="auto" w:fill="FFFFFF"/>
          <w14:textFill>
            <w14:solidFill>
              <w14:schemeClr w14:val="tx1"/>
            </w14:solidFill>
          </w14:textFill>
        </w:rPr>
        <w:t>6.1</w:t>
      </w:r>
      <w:bookmarkEnd w:id="140"/>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后续行动</w:t>
      </w:r>
      <w:bookmarkEnd w:id="141"/>
      <w:bookmarkEnd w:id="142"/>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1</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对丢失、被盗放射源的辐射事故，从接到报案或者检查发现之日起半年内，仍未追回放射源或仍未查清下落的，由负责立案侦查的公安机关作阶段报告，并提交给同级辐射事故应急办，生态环境主管部门配合并给予技术支持；</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）对事故造成的危害情况进行科学评估，市生态环境部门会同相关部门负责对遭受辐射污染场地的清理、放射性废物的处理、辐射后续影响的监测、辐射污染环境的恢复等提出对策、措施和建议；</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3</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）对造成环境污染的辐射事故，市生态环境部门组织进行后期环境辐射监测，制定去污计划及放射性废物处理处置计划，并监督实施。</w:t>
      </w:r>
    </w:p>
    <w:p>
      <w:pPr>
        <w:pStyle w:val="3"/>
        <w:widowControl/>
        <w:spacing w:beforeAutospacing="0" w:afterAutospacing="0" w:line="360" w:lineRule="atLeast"/>
        <w:ind w:firstLine="560"/>
        <w:jc w:val="both"/>
        <w:rPr>
          <w:rFonts w:hint="default"/>
          <w:b w:val="0"/>
          <w:bCs w:val="0"/>
          <w:color w:val="000000" w:themeColor="text1"/>
          <w:sz w:val="24"/>
          <w:szCs w:val="24"/>
          <w14:textFill>
            <w14:solidFill>
              <w14:schemeClr w14:val="tx1"/>
            </w14:solidFill>
          </w14:textFill>
        </w:rPr>
      </w:pPr>
      <w:bookmarkStart w:id="143" w:name="_Toc112226331"/>
      <w:bookmarkEnd w:id="143"/>
      <w:bookmarkStart w:id="144" w:name="_Toc80951513"/>
      <w:bookmarkEnd w:id="144"/>
      <w:bookmarkStart w:id="145" w:name="_Toc18833_WPSOffice_Level1"/>
      <w:bookmarkStart w:id="146" w:name="_Toc1020772394_WPSOffice_Level1"/>
      <w:bookmarkStart w:id="147" w:name="_Toc46077204_WPSOffice_Level1"/>
      <w:r>
        <w:rPr>
          <w:rFonts w:hint="default" w:ascii="Times New Roman" w:hAnsi="Times New Roman"/>
          <w:b w:val="0"/>
          <w:bCs w:val="0"/>
          <w:color w:val="000000" w:themeColor="text1"/>
          <w:sz w:val="28"/>
          <w:szCs w:val="28"/>
          <w:shd w:val="clear" w:color="auto" w:fill="FFFFFF"/>
          <w14:textFill>
            <w14:solidFill>
              <w14:schemeClr w14:val="tx1"/>
            </w14:solidFill>
          </w14:textFill>
        </w:rPr>
        <w:t>6.2</w:t>
      </w:r>
      <w:bookmarkEnd w:id="145"/>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善后处置</w:t>
      </w:r>
      <w:bookmarkEnd w:id="146"/>
      <w:bookmarkEnd w:id="147"/>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1</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）对参与事故应急响应的人员及事故受害人员所受剂量进行评估，对造成伤亡的人员及时进行医疗救助或按规定给予抚恤；</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）对造成生产生活困难的群众进行妥善安置，对紧急调集、动员征用的人力物力按照规定给予补偿，并按照有关规定及时下拨救助资金和物资。</w:t>
      </w:r>
    </w:p>
    <w:p>
      <w:pPr>
        <w:pStyle w:val="3"/>
        <w:widowControl/>
        <w:spacing w:beforeAutospacing="0" w:afterAutospacing="0" w:line="360" w:lineRule="atLeast"/>
        <w:ind w:firstLine="560"/>
        <w:jc w:val="both"/>
        <w:rPr>
          <w:rFonts w:hint="default"/>
          <w:b w:val="0"/>
          <w:bCs w:val="0"/>
          <w:color w:val="000000" w:themeColor="text1"/>
          <w:sz w:val="24"/>
          <w:szCs w:val="24"/>
          <w14:textFill>
            <w14:solidFill>
              <w14:schemeClr w14:val="tx1"/>
            </w14:solidFill>
          </w14:textFill>
        </w:rPr>
      </w:pPr>
      <w:bookmarkStart w:id="148" w:name="_Toc80951514"/>
      <w:bookmarkEnd w:id="148"/>
      <w:bookmarkStart w:id="149" w:name="_Toc112226332"/>
      <w:bookmarkEnd w:id="149"/>
      <w:bookmarkStart w:id="150" w:name="_Toc24029_WPSOffice_Level1"/>
      <w:bookmarkStart w:id="151" w:name="_Toc281439110_WPSOffice_Level1"/>
      <w:bookmarkStart w:id="152" w:name="_Toc1637009760_WPSOffice_Level1"/>
      <w:r>
        <w:rPr>
          <w:rFonts w:hint="default" w:ascii="Times New Roman" w:hAnsi="Times New Roman"/>
          <w:b w:val="0"/>
          <w:bCs w:val="0"/>
          <w:color w:val="000000" w:themeColor="text1"/>
          <w:sz w:val="28"/>
          <w:szCs w:val="28"/>
          <w:shd w:val="clear" w:color="auto" w:fill="FFFFFF"/>
          <w14:textFill>
            <w14:solidFill>
              <w14:schemeClr w14:val="tx1"/>
            </w14:solidFill>
          </w14:textFill>
        </w:rPr>
        <w:t>6.3</w:t>
      </w:r>
      <w:bookmarkEnd w:id="150"/>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总结评估</w:t>
      </w:r>
      <w:bookmarkEnd w:id="151"/>
      <w:bookmarkEnd w:id="152"/>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1</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）各级辐射事故应急指挥部指导有关部门及辐射事故单位查出事故原因，防止类似事故再次发生；</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）各级辐射事故应急指挥部组织有关部门和专家组，对辐射事故情况和在应急期间采取的主要行动进行总结，</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1</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个月内将总结报告报本级政府和上级有关部门；</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3</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）根据实践经验，各级辐射事故应急指挥部办公室对本级预案进行评估，并及时修订本级预案。</w:t>
      </w:r>
    </w:p>
    <w:p>
      <w:pPr>
        <w:widowControl/>
        <w:jc w:val="left"/>
        <w:rPr>
          <w:color w:val="000000" w:themeColor="text1"/>
          <w14:textFill>
            <w14:solidFill>
              <w14:schemeClr w14:val="tx1"/>
            </w14:solidFill>
          </w14:textFill>
        </w:rPr>
      </w:pPr>
    </w:p>
    <w:p>
      <w:pPr>
        <w:pStyle w:val="2"/>
        <w:widowControl/>
        <w:spacing w:before="120" w:beforeAutospacing="0" w:after="120" w:afterAutospacing="0" w:line="405" w:lineRule="atLeast"/>
        <w:jc w:val="both"/>
        <w:rPr>
          <w:rFonts w:hint="default"/>
          <w:b w:val="0"/>
          <w:bCs w:val="0"/>
          <w:color w:val="000000" w:themeColor="text1"/>
          <w:sz w:val="27"/>
          <w:szCs w:val="27"/>
          <w14:textFill>
            <w14:solidFill>
              <w14:schemeClr w14:val="tx1"/>
            </w14:solidFill>
          </w14:textFill>
        </w:rPr>
      </w:pPr>
      <w:bookmarkStart w:id="153" w:name="_Toc112226333"/>
      <w:bookmarkEnd w:id="153"/>
      <w:bookmarkStart w:id="154" w:name="_Toc80951515"/>
      <w:bookmarkEnd w:id="154"/>
      <w:bookmarkStart w:id="155" w:name="_Toc80951458"/>
      <w:bookmarkStart w:id="156" w:name="_Toc1723765050_WPSOffice_Level1"/>
      <w:bookmarkStart w:id="157" w:name="_Toc92352817_WPSOffice_Level1"/>
      <w:r>
        <w:rPr>
          <w:rFonts w:hint="default" w:ascii="Times New Roman" w:hAnsi="Times New Roman"/>
          <w:color w:val="000000" w:themeColor="text1"/>
          <w:sz w:val="32"/>
          <w:szCs w:val="32"/>
          <w:shd w:val="clear" w:color="auto" w:fill="FFFFFF"/>
          <w14:textFill>
            <w14:solidFill>
              <w14:schemeClr w14:val="tx1"/>
            </w14:solidFill>
          </w14:textFill>
        </w:rPr>
        <w:t>7</w:t>
      </w:r>
      <w:bookmarkEnd w:id="155"/>
      <w:r>
        <w:rPr>
          <w:rFonts w:hint="default" w:ascii="仿宋_GB2312" w:eastAsia="仿宋_GB2312" w:cs="仿宋_GB2312"/>
          <w:color w:val="000000" w:themeColor="text1"/>
          <w:sz w:val="32"/>
          <w:szCs w:val="32"/>
          <w:shd w:val="clear" w:color="auto" w:fill="FFFFFF"/>
          <w14:textFill>
            <w14:solidFill>
              <w14:schemeClr w14:val="tx1"/>
            </w14:solidFill>
          </w14:textFill>
        </w:rPr>
        <w:t>保障措施</w:t>
      </w:r>
      <w:bookmarkEnd w:id="156"/>
      <w:bookmarkEnd w:id="157"/>
    </w:p>
    <w:p>
      <w:pPr>
        <w:pStyle w:val="3"/>
        <w:widowControl/>
        <w:spacing w:beforeAutospacing="0" w:afterAutospacing="0" w:line="360" w:lineRule="atLeast"/>
        <w:ind w:firstLine="560"/>
        <w:jc w:val="both"/>
        <w:rPr>
          <w:rFonts w:hint="default"/>
          <w:b w:val="0"/>
          <w:bCs w:val="0"/>
          <w:color w:val="000000" w:themeColor="text1"/>
          <w:sz w:val="24"/>
          <w:szCs w:val="24"/>
          <w14:textFill>
            <w14:solidFill>
              <w14:schemeClr w14:val="tx1"/>
            </w14:solidFill>
          </w14:textFill>
        </w:rPr>
      </w:pPr>
      <w:bookmarkStart w:id="158" w:name="_Toc27523_WPSOffice_Level1"/>
      <w:bookmarkEnd w:id="158"/>
      <w:bookmarkStart w:id="159" w:name="_Toc80951516"/>
      <w:bookmarkEnd w:id="159"/>
      <w:bookmarkStart w:id="160" w:name="_Toc112226334"/>
      <w:bookmarkStart w:id="161" w:name="_Toc180802745_WPSOffice_Level1"/>
      <w:bookmarkStart w:id="162" w:name="_Toc1990452403_WPSOffice_Level1"/>
      <w:r>
        <w:rPr>
          <w:rFonts w:hint="default" w:ascii="Times New Roman" w:hAnsi="Times New Roman"/>
          <w:b w:val="0"/>
          <w:bCs w:val="0"/>
          <w:color w:val="000000" w:themeColor="text1"/>
          <w:sz w:val="28"/>
          <w:szCs w:val="28"/>
          <w:shd w:val="clear" w:color="auto" w:fill="FFFFFF"/>
          <w14:textFill>
            <w14:solidFill>
              <w14:schemeClr w14:val="tx1"/>
            </w14:solidFill>
          </w14:textFill>
        </w:rPr>
        <w:t>7.1</w:t>
      </w:r>
      <w:bookmarkEnd w:id="160"/>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资金保障</w:t>
      </w:r>
      <w:bookmarkEnd w:id="161"/>
      <w:bookmarkEnd w:id="162"/>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按照国家规定，辐射事故应急工作所需准备资金由地方政府承担，支出预算由市财政部门审核，报市政府审批后列入年度财政预算。辐射事故应急资金按有关规定管理使用。主要用于应急指挥部确定的应急工作项目，以及日常工作和保障专业应急队伍建设，相关科研和成果转化、预案制定等工作。</w:t>
      </w:r>
    </w:p>
    <w:p>
      <w:pPr>
        <w:pStyle w:val="3"/>
        <w:widowControl/>
        <w:spacing w:beforeAutospacing="0" w:afterAutospacing="0" w:line="360" w:lineRule="atLeast"/>
        <w:ind w:firstLine="560"/>
        <w:jc w:val="both"/>
        <w:rPr>
          <w:rFonts w:hint="default"/>
          <w:b w:val="0"/>
          <w:bCs w:val="0"/>
          <w:color w:val="000000" w:themeColor="text1"/>
          <w:sz w:val="24"/>
          <w:szCs w:val="24"/>
          <w14:textFill>
            <w14:solidFill>
              <w14:schemeClr w14:val="tx1"/>
            </w14:solidFill>
          </w14:textFill>
        </w:rPr>
      </w:pPr>
      <w:bookmarkStart w:id="163" w:name="_Toc112226335"/>
      <w:bookmarkEnd w:id="163"/>
      <w:bookmarkStart w:id="164" w:name="_Toc80951517"/>
      <w:bookmarkEnd w:id="164"/>
      <w:bookmarkStart w:id="165" w:name="_Toc30239_WPSOffice_Level1"/>
      <w:bookmarkStart w:id="166" w:name="_Toc836679271_WPSOffice_Level1"/>
      <w:bookmarkStart w:id="167" w:name="_Toc1465209172_WPSOffice_Level1"/>
      <w:r>
        <w:rPr>
          <w:rFonts w:hint="default" w:ascii="Times New Roman" w:hAnsi="Times New Roman"/>
          <w:b w:val="0"/>
          <w:bCs w:val="0"/>
          <w:color w:val="000000" w:themeColor="text1"/>
          <w:sz w:val="28"/>
          <w:szCs w:val="28"/>
          <w:shd w:val="clear" w:color="auto" w:fill="FFFFFF"/>
          <w14:textFill>
            <w14:solidFill>
              <w14:schemeClr w14:val="tx1"/>
            </w14:solidFill>
          </w14:textFill>
        </w:rPr>
        <w:t>7.2</w:t>
      </w:r>
      <w:bookmarkEnd w:id="165"/>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通信保障</w:t>
      </w:r>
      <w:bookmarkEnd w:id="166"/>
      <w:bookmarkEnd w:id="167"/>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市辐射事故应急指挥部应建立和完善应急指挥通信联络系统，配备必要的有线、无线通信器材</w:t>
      </w:r>
      <w:r>
        <w:rPr>
          <w:rFonts w:hint="eastAsia" w:ascii="宋体" w:hAnsi="宋体" w:eastAsia="宋体" w:cs="宋体"/>
          <w:color w:val="000000" w:themeColor="text1"/>
          <w:kern w:val="0"/>
          <w:szCs w:val="21"/>
          <w:shd w:val="clear" w:color="auto" w:fill="FFFFFF"/>
          <w14:textFill>
            <w14:solidFill>
              <w14:schemeClr w14:val="tx1"/>
            </w14:solidFill>
          </w14:textFill>
        </w:rPr>
        <w:t>，</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确保应急指挥部和有关部门、各专业应急处置机构、专家组间的联络畅通。</w:t>
      </w:r>
    </w:p>
    <w:p>
      <w:pPr>
        <w:pStyle w:val="3"/>
        <w:widowControl/>
        <w:spacing w:beforeAutospacing="0" w:afterAutospacing="0" w:line="360" w:lineRule="atLeast"/>
        <w:ind w:firstLine="560"/>
        <w:jc w:val="both"/>
        <w:rPr>
          <w:rFonts w:hint="default"/>
          <w:b w:val="0"/>
          <w:bCs w:val="0"/>
          <w:color w:val="000000" w:themeColor="text1"/>
          <w:sz w:val="24"/>
          <w:szCs w:val="24"/>
          <w14:textFill>
            <w14:solidFill>
              <w14:schemeClr w14:val="tx1"/>
            </w14:solidFill>
          </w14:textFill>
        </w:rPr>
      </w:pPr>
      <w:bookmarkStart w:id="168" w:name="_Toc80951518"/>
      <w:bookmarkEnd w:id="168"/>
      <w:bookmarkStart w:id="169" w:name="_Toc112226336"/>
      <w:bookmarkEnd w:id="169"/>
      <w:bookmarkStart w:id="170" w:name="_Toc16912_WPSOffice_Level1"/>
      <w:bookmarkStart w:id="171" w:name="_Toc1512258659_WPSOffice_Level1"/>
      <w:bookmarkStart w:id="172" w:name="_Toc120214495_WPSOffice_Level1"/>
      <w:r>
        <w:rPr>
          <w:rFonts w:hint="default" w:ascii="Times New Roman" w:hAnsi="Times New Roman"/>
          <w:b w:val="0"/>
          <w:bCs w:val="0"/>
          <w:color w:val="000000" w:themeColor="text1"/>
          <w:sz w:val="28"/>
          <w:szCs w:val="28"/>
          <w:shd w:val="clear" w:color="auto" w:fill="FFFFFF"/>
          <w14:textFill>
            <w14:solidFill>
              <w14:schemeClr w14:val="tx1"/>
            </w14:solidFill>
          </w14:textFill>
        </w:rPr>
        <w:t>7.3</w:t>
      </w:r>
      <w:bookmarkEnd w:id="170"/>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物资装备保障</w:t>
      </w:r>
      <w:bookmarkEnd w:id="171"/>
      <w:bookmarkEnd w:id="172"/>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各辐射事故应急处置部门根据工作需要，配置</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辐射监测仪器、报警装置等</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相应的技术装备、安全防护用品和有关物资，保证应急设备和物资始终处于良好备用状态，定期保养、检验和清点应急设备和物资。</w:t>
      </w:r>
    </w:p>
    <w:p>
      <w:pPr>
        <w:pStyle w:val="3"/>
        <w:widowControl/>
        <w:spacing w:beforeAutospacing="0" w:afterAutospacing="0" w:line="360" w:lineRule="atLeast"/>
        <w:ind w:firstLine="560"/>
        <w:jc w:val="both"/>
        <w:rPr>
          <w:rFonts w:hint="default"/>
          <w:b w:val="0"/>
          <w:bCs w:val="0"/>
          <w:color w:val="000000" w:themeColor="text1"/>
          <w:sz w:val="24"/>
          <w:szCs w:val="24"/>
          <w14:textFill>
            <w14:solidFill>
              <w14:schemeClr w14:val="tx1"/>
            </w14:solidFill>
          </w14:textFill>
        </w:rPr>
      </w:pPr>
      <w:bookmarkStart w:id="173" w:name="_Toc80951519"/>
      <w:bookmarkEnd w:id="173"/>
      <w:bookmarkStart w:id="174" w:name="_Toc18338_WPSOffice_Level1"/>
      <w:bookmarkEnd w:id="174"/>
      <w:bookmarkStart w:id="175" w:name="_Toc112226337"/>
      <w:bookmarkStart w:id="176" w:name="_Toc1974680720_WPSOffice_Level1"/>
      <w:bookmarkStart w:id="177" w:name="_Toc567795076_WPSOffice_Level1"/>
      <w:r>
        <w:rPr>
          <w:rFonts w:hint="default" w:ascii="Times New Roman" w:hAnsi="Times New Roman"/>
          <w:b w:val="0"/>
          <w:bCs w:val="0"/>
          <w:color w:val="000000" w:themeColor="text1"/>
          <w:sz w:val="28"/>
          <w:szCs w:val="28"/>
          <w:shd w:val="clear" w:color="auto" w:fill="FFFFFF"/>
          <w14:textFill>
            <w14:solidFill>
              <w14:schemeClr w14:val="tx1"/>
            </w14:solidFill>
          </w14:textFill>
        </w:rPr>
        <w:t>7.4</w:t>
      </w:r>
      <w:bookmarkEnd w:id="175"/>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技术保障</w:t>
      </w:r>
      <w:bookmarkEnd w:id="176"/>
      <w:bookmarkEnd w:id="177"/>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建立辐射事故预警系统，组建专家咨询组，确保在启动预警前、事故发生后相关专家能迅速到位，为指挥决策提供服务；建立辐射事故应急数据库，建立健全辐射事故应急队伍。</w:t>
      </w:r>
    </w:p>
    <w:p>
      <w:pPr>
        <w:pStyle w:val="3"/>
        <w:widowControl/>
        <w:spacing w:beforeAutospacing="0" w:afterAutospacing="0" w:line="360" w:lineRule="atLeast"/>
        <w:ind w:firstLine="560"/>
        <w:jc w:val="both"/>
        <w:rPr>
          <w:rFonts w:hint="default" w:eastAsia="仿宋_GB2312"/>
          <w:b w:val="0"/>
          <w:bCs w:val="0"/>
          <w:color w:val="000000" w:themeColor="text1"/>
          <w:sz w:val="24"/>
          <w:szCs w:val="24"/>
          <w14:textFill>
            <w14:solidFill>
              <w14:schemeClr w14:val="tx1"/>
            </w14:solidFill>
          </w14:textFill>
        </w:rPr>
      </w:pPr>
      <w:bookmarkStart w:id="178" w:name="_Toc112226338"/>
      <w:bookmarkEnd w:id="178"/>
      <w:bookmarkStart w:id="179" w:name="_Toc80951520"/>
      <w:bookmarkEnd w:id="179"/>
      <w:bookmarkStart w:id="180" w:name="_Toc13483_WPSOffice_Level1"/>
      <w:bookmarkStart w:id="181" w:name="_Toc1686560933_WPSOffice_Level1"/>
      <w:bookmarkStart w:id="182" w:name="_Toc1950826712_WPSOffice_Level1"/>
      <w:r>
        <w:rPr>
          <w:rFonts w:hint="default" w:ascii="Times New Roman" w:hAnsi="Times New Roman"/>
          <w:b w:val="0"/>
          <w:bCs w:val="0"/>
          <w:color w:val="000000" w:themeColor="text1"/>
          <w:sz w:val="28"/>
          <w:szCs w:val="28"/>
          <w:shd w:val="clear" w:color="auto" w:fill="FFFFFF"/>
          <w14:textFill>
            <w14:solidFill>
              <w14:schemeClr w14:val="tx1"/>
            </w14:solidFill>
          </w14:textFill>
        </w:rPr>
        <w:t>7.5</w:t>
      </w:r>
      <w:bookmarkEnd w:id="180"/>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宣传、培训与</w:t>
      </w:r>
      <w:r>
        <w:rPr>
          <w:rFonts w:ascii="仿宋_GB2312" w:eastAsia="仿宋_GB2312" w:cs="仿宋_GB2312"/>
          <w:b w:val="0"/>
          <w:bCs w:val="0"/>
          <w:color w:val="000000" w:themeColor="text1"/>
          <w:sz w:val="28"/>
          <w:szCs w:val="28"/>
          <w:shd w:val="clear" w:color="auto" w:fill="FFFFFF"/>
          <w14:textFill>
            <w14:solidFill>
              <w14:schemeClr w14:val="tx1"/>
            </w14:solidFill>
          </w14:textFill>
        </w:rPr>
        <w:t>演练</w:t>
      </w:r>
      <w:bookmarkEnd w:id="181"/>
      <w:bookmarkEnd w:id="182"/>
    </w:p>
    <w:p>
      <w:pPr>
        <w:widowControl/>
        <w:spacing w:line="23" w:lineRule="atLeast"/>
        <w:ind w:firstLine="560"/>
        <w:rPr>
          <w:color w:val="000000" w:themeColor="text1"/>
          <w14:textFill>
            <w14:solidFill>
              <w14:schemeClr w14:val="tx1"/>
            </w14:solidFill>
          </w14:textFill>
        </w:rPr>
      </w:pP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7.5.1</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宣传</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政府机关、社会团体、企事业单位、社区居委会和村委会负责组织本单位、本地区的人员进行辐射应急法律法规和预防、避险、自救、互救等常识的宣传教育。市教育主管部门和学校组织实施在校学生相关辐射应急的教育。充分利用广播、电视、报纸、互联网等新闻媒体，开展辐射应急教育，增强公民防范意识，学习掌握辐射应急基本知识和技能。</w:t>
      </w:r>
    </w:p>
    <w:p>
      <w:pPr>
        <w:widowControl/>
        <w:spacing w:line="23" w:lineRule="atLeast"/>
        <w:ind w:firstLine="560"/>
        <w:rPr>
          <w:color w:val="000000" w:themeColor="text1"/>
          <w14:textFill>
            <w14:solidFill>
              <w14:schemeClr w14:val="tx1"/>
            </w14:solidFill>
          </w14:textFill>
        </w:rPr>
      </w:pP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7.5.2</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培训</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1</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公职人员培训：市辐射应急办公室负责协调各相关成员单位开展面向公职人员的辐射应急有关知识培训。将辐射应急事故预防、应急指挥、综合协调等作为重要内容，以增强公职人员应对突发性辐射事故的知识和能力。并按照要求积极参与组织的各类培训。</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2</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市民培训：市辐射应急办公室各成员单位结合自身业务领域，利用现有设施有组织、有计划地为市民提供应对辐射事故预防与应急的自救互救知识和技能的培训。各基层单位要根据政府的要求，结合本单位的实际情况，加强自救、互救和逃生的知识和技能培训。</w:t>
      </w:r>
    </w:p>
    <w:p>
      <w:pPr>
        <w:widowControl/>
        <w:spacing w:line="23" w:lineRule="atLeast"/>
        <w:ind w:firstLine="560"/>
        <w:rPr>
          <w:color w:val="000000" w:themeColor="text1"/>
          <w14:textFill>
            <w14:solidFill>
              <w14:schemeClr w14:val="tx1"/>
            </w14:solidFill>
          </w14:textFill>
        </w:rPr>
      </w:pPr>
      <w:r>
        <w:rPr>
          <w:rFonts w:ascii="Times New Roman" w:hAnsi="Times New Roman" w:eastAsia="微软雅黑" w:cs="Times New Roman"/>
          <w:color w:val="000000" w:themeColor="text1"/>
          <w:kern w:val="0"/>
          <w:sz w:val="28"/>
          <w:szCs w:val="28"/>
          <w:shd w:val="clear" w:color="auto" w:fill="FFFFFF"/>
          <w14:textFill>
            <w14:solidFill>
              <w14:schemeClr w14:val="tx1"/>
            </w14:solidFill>
          </w14:textFill>
        </w:rPr>
        <w:t>7.5.3</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演练</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按照本预案的要求，组织进行不同类型的辐射事故应急实战</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演练</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，提高防范和处置辐射事故的技能，增强实战能力。</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应急</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演练</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分为综合</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演练</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和专项</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演练</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。综合</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演练</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是为了全面检验、巩固和提高市辐射事故应急组织体系内各应急组织之间的相互协调与配合，同时检查应急预案有效性而举行的</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演练</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。专项</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演练</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是为了检验、巩固和提高应急组织或应急响应人员执行某一特定应急响应技能而进行的</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演练</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w:t>
      </w:r>
    </w:p>
    <w:p>
      <w:pPr>
        <w:widowControl/>
        <w:jc w:val="left"/>
        <w:rPr>
          <w:color w:val="000000" w:themeColor="text1"/>
          <w14:textFill>
            <w14:solidFill>
              <w14:schemeClr w14:val="tx1"/>
            </w14:solidFill>
          </w14:textFill>
        </w:rPr>
      </w:pPr>
    </w:p>
    <w:p>
      <w:pPr>
        <w:pStyle w:val="2"/>
        <w:widowControl/>
        <w:spacing w:before="120" w:beforeAutospacing="0" w:after="120" w:afterAutospacing="0" w:line="405" w:lineRule="atLeast"/>
        <w:jc w:val="both"/>
        <w:rPr>
          <w:rFonts w:hint="default"/>
          <w:b w:val="0"/>
          <w:bCs w:val="0"/>
          <w:color w:val="000000" w:themeColor="text1"/>
          <w:sz w:val="27"/>
          <w:szCs w:val="27"/>
          <w14:textFill>
            <w14:solidFill>
              <w14:schemeClr w14:val="tx1"/>
            </w14:solidFill>
          </w14:textFill>
        </w:rPr>
      </w:pPr>
      <w:bookmarkStart w:id="183" w:name="_Toc112226339"/>
      <w:bookmarkEnd w:id="183"/>
      <w:bookmarkStart w:id="184" w:name="_Toc80951521"/>
      <w:bookmarkEnd w:id="184"/>
      <w:bookmarkStart w:id="185" w:name="_Toc80951459"/>
      <w:bookmarkStart w:id="186" w:name="_Toc318566725_WPSOffice_Level1"/>
      <w:bookmarkStart w:id="187" w:name="_Toc696230643_WPSOffice_Level1"/>
      <w:r>
        <w:rPr>
          <w:rFonts w:hint="default" w:ascii="Times New Roman" w:hAnsi="Times New Roman"/>
          <w:color w:val="000000" w:themeColor="text1"/>
          <w:sz w:val="32"/>
          <w:szCs w:val="32"/>
          <w:shd w:val="clear" w:color="auto" w:fill="FFFFFF"/>
          <w14:textFill>
            <w14:solidFill>
              <w14:schemeClr w14:val="tx1"/>
            </w14:solidFill>
          </w14:textFill>
        </w:rPr>
        <w:t>8</w:t>
      </w:r>
      <w:bookmarkEnd w:id="185"/>
      <w:r>
        <w:rPr>
          <w:rFonts w:hint="default" w:ascii="仿宋_GB2312" w:eastAsia="仿宋_GB2312" w:cs="仿宋_GB2312"/>
          <w:color w:val="000000" w:themeColor="text1"/>
          <w:sz w:val="32"/>
          <w:szCs w:val="32"/>
          <w:shd w:val="clear" w:color="auto" w:fill="FFFFFF"/>
          <w14:textFill>
            <w14:solidFill>
              <w14:schemeClr w14:val="tx1"/>
            </w14:solidFill>
          </w14:textFill>
        </w:rPr>
        <w:t>附则</w:t>
      </w:r>
      <w:bookmarkEnd w:id="186"/>
      <w:bookmarkEnd w:id="187"/>
    </w:p>
    <w:p>
      <w:pPr>
        <w:pStyle w:val="3"/>
        <w:widowControl/>
        <w:spacing w:beforeAutospacing="0" w:afterAutospacing="0" w:line="360" w:lineRule="atLeast"/>
        <w:ind w:firstLine="560"/>
        <w:jc w:val="both"/>
        <w:rPr>
          <w:rFonts w:hint="default"/>
          <w:b w:val="0"/>
          <w:bCs w:val="0"/>
          <w:color w:val="000000" w:themeColor="text1"/>
          <w:sz w:val="24"/>
          <w:szCs w:val="24"/>
          <w14:textFill>
            <w14:solidFill>
              <w14:schemeClr w14:val="tx1"/>
            </w14:solidFill>
          </w14:textFill>
        </w:rPr>
      </w:pPr>
      <w:bookmarkStart w:id="188" w:name="_Toc1667_WPSOffice_Level1"/>
      <w:bookmarkEnd w:id="188"/>
      <w:bookmarkStart w:id="189" w:name="_Toc112226340"/>
      <w:bookmarkEnd w:id="189"/>
      <w:bookmarkStart w:id="190" w:name="_Toc80951522"/>
      <w:bookmarkStart w:id="191" w:name="_Toc234994814_WPSOffice_Level1"/>
      <w:bookmarkStart w:id="192" w:name="_Toc1825071760_WPSOffice_Level1"/>
      <w:r>
        <w:rPr>
          <w:rFonts w:hint="default" w:ascii="Times New Roman" w:hAnsi="Times New Roman"/>
          <w:b w:val="0"/>
          <w:bCs w:val="0"/>
          <w:color w:val="000000" w:themeColor="text1"/>
          <w:sz w:val="28"/>
          <w:szCs w:val="28"/>
          <w:shd w:val="clear" w:color="auto" w:fill="FFFFFF"/>
          <w14:textFill>
            <w14:solidFill>
              <w14:schemeClr w14:val="tx1"/>
            </w14:solidFill>
          </w14:textFill>
        </w:rPr>
        <w:t>8.1</w:t>
      </w:r>
      <w:bookmarkEnd w:id="190"/>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名词术语解释</w:t>
      </w:r>
      <w:bookmarkEnd w:id="191"/>
      <w:bookmarkEnd w:id="192"/>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放射性同位素，是指某种发生放射性衰变的元素中具有相同原子序数但质量不同的核素。</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放射源，是指除研究堆和动力堆核燃料循环范畴的材料以外，永久密封在容器中或者有严密包层并呈固态的放射性材料。</w:t>
      </w:r>
    </w:p>
    <w:p>
      <w:pPr>
        <w:widowControl/>
        <w:spacing w:line="23" w:lineRule="atLeast"/>
        <w:ind w:firstLine="560"/>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射线装置，是指X线机、加速器、中子发生器以及含放射源的装置。</w:t>
      </w:r>
    </w:p>
    <w:p>
      <w:pPr>
        <w:widowControl/>
        <w:spacing w:line="23" w:lineRule="atLeast"/>
        <w:ind w:firstLine="560"/>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伴生矿</w:t>
      </w:r>
      <w:r>
        <w:rPr>
          <w:rFonts w:hint="eastAsia" w:ascii="仿宋_GB2312" w:hAnsi="微软雅黑" w:eastAsia="仿宋_GB2312" w:cs="仿宋_GB2312"/>
          <w:color w:val="000000" w:themeColor="text1"/>
          <w:kern w:val="0"/>
          <w:sz w:val="28"/>
          <w:szCs w:val="28"/>
          <w:shd w:val="clear" w:color="auto" w:fill="FFFFFF"/>
          <w:lang w:eastAsia="zh-CN"/>
          <w14:textFill>
            <w14:solidFill>
              <w14:schemeClr w14:val="tx1"/>
            </w14:solidFill>
          </w14:textFill>
        </w:rPr>
        <w:t>，</w:t>
      </w:r>
      <w:r>
        <w:rPr>
          <w:rFonts w:hint="eastAsia" w:ascii="仿宋_GB2312" w:hAnsi="微软雅黑" w:eastAsia="仿宋_GB2312" w:cs="仿宋_GB2312"/>
          <w:color w:val="000000" w:themeColor="text1"/>
          <w:kern w:val="0"/>
          <w:sz w:val="28"/>
          <w:szCs w:val="28"/>
          <w:shd w:val="clear" w:color="auto" w:fill="FFFFFF"/>
          <w:lang w:val="en-US" w:eastAsia="zh-CN"/>
          <w14:textFill>
            <w14:solidFill>
              <w14:schemeClr w14:val="tx1"/>
            </w14:solidFill>
          </w14:textFill>
        </w:rPr>
        <w:t>是指某种含有其他矿产的矿藏。伴生矿在同一矿床（矿体）内，不具备单独开采价值，但能与其伴生的主要矿产一起被开发利用的有用矿物或元素。</w:t>
      </w:r>
    </w:p>
    <w:p>
      <w:pPr>
        <w:widowControl/>
        <w:spacing w:line="23" w:lineRule="atLeast"/>
        <w:ind w:firstLine="560"/>
        <w:rPr>
          <w:rFonts w:hint="default" w:ascii="仿宋_GB2312" w:hAnsi="微软雅黑" w:eastAsia="仿宋_GB2312" w:cs="仿宋_GB2312"/>
          <w:color w:val="000000" w:themeColor="text1"/>
          <w:kern w:val="0"/>
          <w:sz w:val="28"/>
          <w:szCs w:val="28"/>
          <w:shd w:val="clear" w:color="auto" w:fill="FFFFFF"/>
          <w:lang w:val="en-US" w:eastAsia="zh-CN"/>
          <w14:textFill>
            <w14:solidFill>
              <w14:schemeClr w14:val="tx1"/>
            </w14:solidFill>
          </w14:textFill>
        </w:rPr>
      </w:pP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铀矿冶</w:t>
      </w:r>
      <w:r>
        <w:rPr>
          <w:rFonts w:hint="eastAsia" w:ascii="仿宋_GB2312" w:hAnsi="微软雅黑" w:eastAsia="仿宋_GB2312" w:cs="仿宋_GB2312"/>
          <w:color w:val="000000" w:themeColor="text1"/>
          <w:kern w:val="0"/>
          <w:sz w:val="28"/>
          <w:szCs w:val="28"/>
          <w:shd w:val="clear" w:color="auto" w:fill="FFFFFF"/>
          <w:lang w:val="en-US" w:eastAsia="zh-CN"/>
          <w14:textFill>
            <w14:solidFill>
              <w14:schemeClr w14:val="tx1"/>
            </w14:solidFill>
          </w14:textFill>
        </w:rPr>
        <w:t>,是指从铀矿中提取、浓缩和纯化精制天然铀产品的过程。铀矿冶是核工业的基础。其目的是将具有工业品味的矿石，加工成具有一定质量要求的固态铀化学浓缩物，以作为铀化工转换的原料。</w:t>
      </w:r>
    </w:p>
    <w:p>
      <w:pPr>
        <w:pStyle w:val="3"/>
        <w:widowControl/>
        <w:spacing w:beforeAutospacing="0" w:afterAutospacing="0" w:line="360" w:lineRule="atLeast"/>
        <w:ind w:firstLine="560"/>
        <w:jc w:val="both"/>
        <w:rPr>
          <w:rFonts w:hint="default"/>
          <w:b w:val="0"/>
          <w:bCs w:val="0"/>
          <w:color w:val="000000" w:themeColor="text1"/>
          <w:sz w:val="24"/>
          <w:szCs w:val="24"/>
          <w14:textFill>
            <w14:solidFill>
              <w14:schemeClr w14:val="tx1"/>
            </w14:solidFill>
          </w14:textFill>
        </w:rPr>
      </w:pPr>
      <w:bookmarkStart w:id="193" w:name="_Toc80951523"/>
      <w:bookmarkEnd w:id="193"/>
      <w:bookmarkStart w:id="194" w:name="_Toc112226341"/>
      <w:bookmarkEnd w:id="194"/>
      <w:bookmarkStart w:id="195" w:name="_Toc20367_WPSOffice_Level1"/>
      <w:bookmarkStart w:id="196" w:name="_Toc1592174496_WPSOffice_Level1"/>
      <w:bookmarkStart w:id="197" w:name="_Toc2129118074_WPSOffice_Level1"/>
      <w:r>
        <w:rPr>
          <w:rFonts w:hint="default" w:ascii="Times New Roman" w:hAnsi="Times New Roman"/>
          <w:b w:val="0"/>
          <w:bCs w:val="0"/>
          <w:color w:val="000000" w:themeColor="text1"/>
          <w:sz w:val="28"/>
          <w:szCs w:val="28"/>
          <w:shd w:val="clear" w:color="auto" w:fill="FFFFFF"/>
          <w14:textFill>
            <w14:solidFill>
              <w14:schemeClr w14:val="tx1"/>
            </w14:solidFill>
          </w14:textFill>
        </w:rPr>
        <w:t>8.2</w:t>
      </w:r>
      <w:bookmarkEnd w:id="195"/>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预案管理</w:t>
      </w:r>
      <w:bookmarkEnd w:id="196"/>
      <w:bookmarkEnd w:id="197"/>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本预案由市生态环境局会同市有关部门编制，并由市生态环境局负责预案的解释和日常管理。根据实际情况，市生态环境局对预案适时组织修订完善，报市人民政府批准后实施。</w:t>
      </w:r>
    </w:p>
    <w:p>
      <w:pPr>
        <w:widowControl/>
        <w:spacing w:line="23" w:lineRule="atLeast"/>
        <w:ind w:firstLine="560"/>
        <w:rPr>
          <w:color w:val="000000" w:themeColor="text1"/>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根据本预案，市辐射事故应急指挥部成员单位应制定相应的实施细则，辖区内</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县市区</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人民政府、经开区</w:t>
      </w:r>
      <w:r>
        <w:rPr>
          <w:rFonts w:hint="eastAsia" w:ascii="仿宋_GB2312" w:hAnsi="微软雅黑" w:eastAsia="仿宋_GB2312" w:cs="仿宋_GB2312"/>
          <w:color w:val="000000" w:themeColor="text1"/>
          <w:kern w:val="0"/>
          <w:sz w:val="28"/>
          <w:szCs w:val="28"/>
          <w:shd w:val="clear" w:color="auto" w:fill="FFFFFF"/>
          <w14:textFill>
            <w14:solidFill>
              <w14:schemeClr w14:val="tx1"/>
            </w14:solidFill>
          </w14:textFill>
        </w:rPr>
        <w:t>管委会</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制定的辐射事故应急预案，报送市生态环境局备案。</w:t>
      </w:r>
    </w:p>
    <w:p>
      <w:pPr>
        <w:widowControl/>
        <w:spacing w:line="23" w:lineRule="atLeast"/>
        <w:ind w:firstLine="560"/>
        <w:rPr>
          <w:rFonts w:hint="default" w:ascii="仿宋_GB2312" w:hAnsi="微软雅黑" w:eastAsia="仿宋_GB2312" w:cs="仿宋_GB2312"/>
          <w:color w:val="000000" w:themeColor="text1"/>
          <w:kern w:val="0"/>
          <w:sz w:val="28"/>
          <w:szCs w:val="28"/>
          <w:shd w:val="clear" w:color="auto" w:fill="FFFFFF"/>
          <w14:textFill>
            <w14:solidFill>
              <w14:schemeClr w14:val="tx1"/>
            </w14:solidFill>
          </w14:textFill>
        </w:rPr>
      </w:pPr>
      <w:bookmarkStart w:id="198" w:name="_Toc112226342"/>
      <w:bookmarkEnd w:id="198"/>
      <w:bookmarkStart w:id="199" w:name="_Toc80951524"/>
      <w:bookmarkEnd w:id="199"/>
      <w:bookmarkStart w:id="200" w:name="_Toc23644_WPSOffice_Level1"/>
      <w:bookmarkStart w:id="201" w:name="_Toc1968088836_WPSOffice_Level1"/>
      <w:bookmarkStart w:id="202" w:name="_Toc926422898_WPSOffice_Level1"/>
      <w:r>
        <w:rPr>
          <w:rFonts w:hint="default" w:ascii="Times New Roman" w:hAnsi="Times New Roman"/>
          <w:b w:val="0"/>
          <w:bCs w:val="0"/>
          <w:color w:val="000000" w:themeColor="text1"/>
          <w:sz w:val="28"/>
          <w:szCs w:val="28"/>
          <w:shd w:val="clear" w:color="auto" w:fill="FFFFFF"/>
          <w14:textFill>
            <w14:solidFill>
              <w14:schemeClr w14:val="tx1"/>
            </w14:solidFill>
          </w14:textFill>
        </w:rPr>
        <w:t>8.3</w:t>
      </w:r>
      <w:bookmarkEnd w:id="200"/>
      <w:r>
        <w:rPr>
          <w:rFonts w:hint="default" w:ascii="仿宋_GB2312" w:eastAsia="仿宋_GB2312" w:cs="仿宋_GB2312"/>
          <w:b w:val="0"/>
          <w:bCs w:val="0"/>
          <w:color w:val="000000" w:themeColor="text1"/>
          <w:sz w:val="28"/>
          <w:szCs w:val="28"/>
          <w:shd w:val="clear" w:color="auto" w:fill="FFFFFF"/>
          <w14:textFill>
            <w14:solidFill>
              <w14:schemeClr w14:val="tx1"/>
            </w14:solidFill>
          </w14:textFill>
        </w:rPr>
        <w:t>预</w:t>
      </w:r>
      <w:r>
        <w:rPr>
          <w:rFonts w:hint="default" w:ascii="仿宋_GB2312" w:hAnsi="微软雅黑" w:eastAsia="仿宋_GB2312" w:cs="仿宋_GB2312"/>
          <w:color w:val="000000" w:themeColor="text1"/>
          <w:kern w:val="0"/>
          <w:sz w:val="28"/>
          <w:szCs w:val="28"/>
          <w:shd w:val="clear" w:color="auto" w:fill="FFFFFF"/>
          <w14:textFill>
            <w14:solidFill>
              <w14:schemeClr w14:val="tx1"/>
            </w14:solidFill>
          </w14:textFill>
        </w:rPr>
        <w:t>案实施时间</w:t>
      </w:r>
      <w:bookmarkEnd w:id="201"/>
      <w:bookmarkEnd w:id="202"/>
    </w:p>
    <w:p>
      <w:pPr>
        <w:widowControl/>
        <w:spacing w:line="23" w:lineRule="atLeast"/>
        <w:ind w:firstLine="560"/>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本预案自发布之日起实施。 </w:t>
      </w:r>
    </w:p>
    <w:p>
      <w:pPr>
        <w:widowControl/>
        <w:spacing w:line="23" w:lineRule="atLeast"/>
        <w:ind w:firstLine="560"/>
        <w:rPr>
          <w:rFonts w:hint="default" w:ascii="仿宋_GB2312" w:hAnsi="微软雅黑" w:eastAsia="仿宋_GB2312" w:cs="仿宋_GB2312"/>
          <w:color w:val="000000" w:themeColor="text1"/>
          <w:kern w:val="0"/>
          <w:sz w:val="28"/>
          <w:szCs w:val="28"/>
          <w:shd w:val="clear" w:color="auto" w:fill="FFFFFF"/>
          <w14:textFill>
            <w14:solidFill>
              <w14:schemeClr w14:val="tx1"/>
            </w14:solidFill>
          </w14:textFill>
        </w:rPr>
      </w:pPr>
      <w:bookmarkStart w:id="203" w:name="_Toc80951460"/>
      <w:bookmarkEnd w:id="203"/>
      <w:bookmarkStart w:id="204" w:name="_Toc80951525"/>
      <w:bookmarkEnd w:id="204"/>
      <w:bookmarkStart w:id="205" w:name="_Toc112226343"/>
      <w:bookmarkEnd w:id="205"/>
      <w:bookmarkStart w:id="206" w:name="_Toc626424708_WPSOffice_Level1"/>
      <w:bookmarkStart w:id="207" w:name="_Toc21268_WPSOffice_Level1"/>
      <w:bookmarkStart w:id="208" w:name="_Toc762084448_WPSOffice_Level1"/>
    </w:p>
    <w:p>
      <w:pPr>
        <w:widowControl/>
        <w:spacing w:line="23" w:lineRule="atLeast"/>
        <w:ind w:firstLine="560"/>
        <w:rPr>
          <w:rFonts w:hint="default" w:ascii="仿宋_GB2312" w:hAnsi="微软雅黑" w:eastAsia="仿宋_GB2312" w:cs="仿宋_GB2312"/>
          <w:color w:val="000000" w:themeColor="text1"/>
          <w:kern w:val="0"/>
          <w:sz w:val="28"/>
          <w:szCs w:val="28"/>
          <w:shd w:val="clear" w:color="auto" w:fill="FFFFFF"/>
          <w14:textFill>
            <w14:solidFill>
              <w14:schemeClr w14:val="tx1"/>
            </w14:solidFill>
          </w14:textFill>
        </w:rPr>
      </w:pPr>
    </w:p>
    <w:p>
      <w:pPr>
        <w:widowControl/>
        <w:spacing w:line="23" w:lineRule="atLeast"/>
        <w:ind w:firstLine="560"/>
        <w:rPr>
          <w:rFonts w:hint="default" w:ascii="仿宋_GB2312" w:hAnsi="微软雅黑" w:eastAsia="仿宋_GB2312" w:cs="仿宋_GB2312"/>
          <w:color w:val="000000" w:themeColor="text1"/>
          <w:kern w:val="0"/>
          <w:sz w:val="28"/>
          <w:szCs w:val="28"/>
          <w:shd w:val="clear" w:color="auto" w:fill="FFFFFF"/>
          <w14:textFill>
            <w14:solidFill>
              <w14:schemeClr w14:val="tx1"/>
            </w14:solidFill>
          </w14:textFill>
        </w:rPr>
      </w:pPr>
      <w:r>
        <w:rPr>
          <w:rFonts w:hint="default" w:ascii="仿宋_GB2312" w:hAnsi="微软雅黑" w:eastAsia="仿宋_GB2312" w:cs="仿宋_GB2312"/>
          <w:color w:val="000000" w:themeColor="text1"/>
          <w:kern w:val="0"/>
          <w:sz w:val="28"/>
          <w:szCs w:val="28"/>
          <w:shd w:val="clear" w:color="auto" w:fill="FFFFFF"/>
          <w14:textFill>
            <w14:solidFill>
              <w14:schemeClr w14:val="tx1"/>
            </w14:solidFill>
          </w14:textFill>
        </w:rPr>
        <w:t>附件：</w:t>
      </w:r>
      <w:bookmarkEnd w:id="206"/>
      <w:bookmarkEnd w:id="207"/>
      <w:bookmarkEnd w:id="208"/>
      <w:bookmarkStart w:id="209" w:name="_Toc121225325_WPSOffice_Level1"/>
      <w:bookmarkStart w:id="210" w:name="_Toc2110113214_WPSOffice_Level1"/>
      <w:r>
        <w:rPr>
          <w:rFonts w:hint="default" w:ascii="仿宋_GB2312" w:hAnsi="微软雅黑" w:eastAsia="仿宋_GB2312" w:cs="仿宋_GB2312"/>
          <w:color w:val="000000" w:themeColor="text1"/>
          <w:kern w:val="0"/>
          <w:sz w:val="28"/>
          <w:szCs w:val="28"/>
          <w:shd w:val="clear" w:color="auto" w:fill="FFFFFF"/>
          <w14:textFill>
            <w14:solidFill>
              <w14:schemeClr w14:val="tx1"/>
            </w14:solidFill>
          </w14:textFill>
        </w:rPr>
        <w:t> </w:t>
      </w:r>
      <w:r>
        <w:rPr>
          <w:rFonts w:ascii="仿宋_GB2312" w:hAnsi="微软雅黑" w:eastAsia="仿宋_GB2312" w:cs="仿宋_GB2312"/>
          <w:color w:val="000000" w:themeColor="text1"/>
          <w:kern w:val="0"/>
          <w:sz w:val="28"/>
          <w:szCs w:val="28"/>
          <w:shd w:val="clear" w:color="auto" w:fill="FFFFFF"/>
          <w14:textFill>
            <w14:solidFill>
              <w14:schemeClr w14:val="tx1"/>
            </w14:solidFill>
          </w14:textFill>
        </w:rPr>
        <w:t>宣城市</w:t>
      </w:r>
      <w:r>
        <w:rPr>
          <w:rFonts w:hint="default" w:ascii="仿宋_GB2312" w:hAnsi="微软雅黑" w:eastAsia="仿宋_GB2312" w:cs="仿宋_GB2312"/>
          <w:color w:val="000000" w:themeColor="text1"/>
          <w:kern w:val="0"/>
          <w:sz w:val="28"/>
          <w:szCs w:val="28"/>
          <w:shd w:val="clear" w:color="auto" w:fill="FFFFFF"/>
          <w14:textFill>
            <w14:solidFill>
              <w14:schemeClr w14:val="tx1"/>
            </w14:solidFill>
          </w14:textFill>
        </w:rPr>
        <w:t>辐射事故信息发布文稿</w:t>
      </w:r>
      <w:bookmarkEnd w:id="209"/>
      <w:bookmarkEnd w:id="210"/>
      <w:bookmarkStart w:id="211" w:name="_Toc80951526"/>
      <w:bookmarkEnd w:id="211"/>
      <w:bookmarkStart w:id="212" w:name="_Toc112226344"/>
    </w:p>
    <w:bookmarkEnd w:id="212"/>
    <w:p>
      <w:pPr>
        <w:pStyle w:val="3"/>
        <w:widowControl/>
        <w:spacing w:beforeAutospacing="0" w:afterAutospacing="0" w:line="360" w:lineRule="atLeast"/>
        <w:jc w:val="both"/>
        <w:rPr>
          <w:rFonts w:hint="default" w:ascii="仿宋_GB2312" w:eastAsia="仿宋_GB2312" w:cs="仿宋_GB2312"/>
          <w:color w:val="000000" w:themeColor="text1"/>
          <w:sz w:val="32"/>
          <w:szCs w:val="32"/>
          <w:shd w:val="clear" w:color="auto" w:fill="FFFFFF"/>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pPr>
        <w:pStyle w:val="3"/>
        <w:widowControl/>
        <w:spacing w:beforeAutospacing="0" w:afterAutospacing="0" w:line="360" w:lineRule="atLeast"/>
        <w:jc w:val="both"/>
        <w:rPr>
          <w:rFonts w:hint="default"/>
          <w:b w:val="0"/>
          <w:bCs w:val="0"/>
          <w:color w:val="000000" w:themeColor="text1"/>
          <w:sz w:val="24"/>
          <w:szCs w:val="24"/>
          <w14:textFill>
            <w14:solidFill>
              <w14:schemeClr w14:val="tx1"/>
            </w14:solidFill>
          </w14:textFill>
        </w:rPr>
      </w:pPr>
      <w:bookmarkStart w:id="213" w:name="_Toc112226348"/>
      <w:bookmarkEnd w:id="213"/>
      <w:bookmarkStart w:id="214" w:name="_Toc112226350"/>
      <w:bookmarkEnd w:id="214"/>
      <w:bookmarkStart w:id="215" w:name="_Toc1969499485_WPSOffice_Level1"/>
      <w:bookmarkStart w:id="216" w:name="_Toc1715223091_WPSOffice_Level1"/>
      <w:r>
        <w:rPr>
          <w:rFonts w:hint="default" w:ascii="仿宋_GB2312" w:eastAsia="仿宋_GB2312" w:cs="仿宋_GB2312"/>
          <w:color w:val="000000" w:themeColor="text1"/>
          <w:sz w:val="32"/>
          <w:szCs w:val="32"/>
          <w:shd w:val="clear" w:color="auto" w:fill="FFFFFF"/>
          <w14:textFill>
            <w14:solidFill>
              <w14:schemeClr w14:val="tx1"/>
            </w14:solidFill>
          </w14:textFill>
        </w:rPr>
        <w:t>附件</w:t>
      </w:r>
      <w:r>
        <w:rPr>
          <w:rFonts w:ascii="仿宋_GB2312" w:eastAsia="仿宋_GB2312" w:cs="仿宋_GB2312"/>
          <w:color w:val="000000" w:themeColor="text1"/>
          <w:sz w:val="32"/>
          <w:szCs w:val="32"/>
          <w:shd w:val="clear" w:color="auto" w:fill="FFFFFF"/>
          <w14:textFill>
            <w14:solidFill>
              <w14:schemeClr w14:val="tx1"/>
            </w14:solidFill>
          </w14:textFill>
        </w:rPr>
        <w:t xml:space="preserve"> </w:t>
      </w:r>
      <w:r>
        <w:rPr>
          <w:rFonts w:ascii="Times New Roman" w:hAnsi="Times New Roman"/>
          <w:color w:val="000000" w:themeColor="text1"/>
          <w:sz w:val="32"/>
          <w:szCs w:val="32"/>
          <w:shd w:val="clear" w:color="auto" w:fill="FFFFFF"/>
          <w14:textFill>
            <w14:solidFill>
              <w14:schemeClr w14:val="tx1"/>
            </w14:solidFill>
          </w14:textFill>
        </w:rPr>
        <w:t xml:space="preserve">  </w:t>
      </w:r>
      <w:r>
        <w:rPr>
          <w:rFonts w:ascii="仿宋_GB2312" w:eastAsia="仿宋_GB2312" w:cs="仿宋_GB2312"/>
          <w:color w:val="000000" w:themeColor="text1"/>
          <w:sz w:val="32"/>
          <w:szCs w:val="32"/>
          <w:shd w:val="clear" w:color="auto" w:fill="FFFFFF"/>
          <w14:textFill>
            <w14:solidFill>
              <w14:schemeClr w14:val="tx1"/>
            </w14:solidFill>
          </w14:textFill>
        </w:rPr>
        <w:t>宣城市</w:t>
      </w:r>
      <w:r>
        <w:rPr>
          <w:rFonts w:hint="default" w:ascii="仿宋_GB2312" w:eastAsia="仿宋_GB2312" w:cs="仿宋_GB2312"/>
          <w:color w:val="000000" w:themeColor="text1"/>
          <w:sz w:val="32"/>
          <w:szCs w:val="32"/>
          <w:shd w:val="clear" w:color="auto" w:fill="FFFFFF"/>
          <w14:textFill>
            <w14:solidFill>
              <w14:schemeClr w14:val="tx1"/>
            </w14:solidFill>
          </w14:textFill>
        </w:rPr>
        <w:t>辐射事故信息发布文稿</w:t>
      </w:r>
      <w:bookmarkEnd w:id="215"/>
      <w:bookmarkEnd w:id="216"/>
    </w:p>
    <w:p>
      <w:pPr>
        <w:widowControl/>
        <w:jc w:val="center"/>
        <w:rPr>
          <w:color w:val="000000" w:themeColor="text1"/>
          <w14:textFill>
            <w14:solidFill>
              <w14:schemeClr w14:val="tx1"/>
            </w14:solidFill>
          </w14:textFill>
        </w:rPr>
      </w:pPr>
      <w:bookmarkStart w:id="217" w:name="_Toc1389331272_WPSOffice_Level1"/>
      <w:bookmarkStart w:id="218" w:name="_Toc2064723756_WPSOffice_Level1"/>
      <w:r>
        <w:rPr>
          <w:rFonts w:ascii="Times New Roman" w:hAnsi="Times New Roman" w:eastAsia="微软雅黑" w:cs="Times New Roman"/>
          <w:b/>
          <w:bCs/>
          <w:color w:val="000000" w:themeColor="text1"/>
          <w:kern w:val="0"/>
          <w:sz w:val="30"/>
          <w:szCs w:val="30"/>
          <w:u w:val="single"/>
          <w:shd w:val="clear" w:color="auto" w:fill="FFFFFF"/>
          <w14:textFill>
            <w14:solidFill>
              <w14:schemeClr w14:val="tx1"/>
            </w14:solidFill>
          </w14:textFill>
        </w:rPr>
        <w:t>             </w:t>
      </w:r>
      <w:r>
        <w:rPr>
          <w:rFonts w:ascii="仿宋_GB2312" w:hAnsi="微软雅黑" w:eastAsia="仿宋_GB2312" w:cs="仿宋_GB2312"/>
          <w:b/>
          <w:bCs/>
          <w:color w:val="000000" w:themeColor="text1"/>
          <w:kern w:val="0"/>
          <w:sz w:val="30"/>
          <w:szCs w:val="30"/>
          <w:shd w:val="clear" w:color="auto" w:fill="FFFFFF"/>
          <w14:textFill>
            <w14:solidFill>
              <w14:schemeClr w14:val="tx1"/>
            </w14:solidFill>
          </w14:textFill>
        </w:rPr>
        <w:t>辐射事故初始报告表</w:t>
      </w:r>
      <w:bookmarkEnd w:id="217"/>
      <w:bookmarkEnd w:id="218"/>
      <w:r>
        <w:rPr>
          <w:rFonts w:ascii="仿宋_GB2312" w:hAnsi="微软雅黑" w:eastAsia="仿宋_GB2312" w:cs="仿宋_GB2312"/>
          <w:b/>
          <w:bCs/>
          <w:color w:val="000000" w:themeColor="text1"/>
          <w:kern w:val="0"/>
          <w:sz w:val="30"/>
          <w:szCs w:val="30"/>
          <w:shd w:val="clear" w:color="auto" w:fill="FFFFFF"/>
          <w14:textFill>
            <w14:solidFill>
              <w14:schemeClr w14:val="tx1"/>
            </w14:solidFill>
          </w14:textFill>
        </w:rPr>
        <w:t>（</w:t>
      </w:r>
      <w:r>
        <w:rPr>
          <w:rFonts w:hint="eastAsia" w:ascii="仿宋_GB2312" w:hAnsi="微软雅黑" w:eastAsia="仿宋_GB2312" w:cs="仿宋_GB2312"/>
          <w:b/>
          <w:bCs/>
          <w:color w:val="000000" w:themeColor="text1"/>
          <w:kern w:val="0"/>
          <w:sz w:val="30"/>
          <w:szCs w:val="30"/>
          <w:shd w:val="clear" w:color="auto" w:fill="FFFFFF"/>
          <w:lang w:val="en-US" w:eastAsia="zh-CN"/>
          <w14:textFill>
            <w14:solidFill>
              <w14:schemeClr w14:val="tx1"/>
            </w14:solidFill>
          </w14:textFill>
        </w:rPr>
        <w:t>涉事单位</w:t>
      </w:r>
      <w:r>
        <w:rPr>
          <w:rFonts w:ascii="仿宋_GB2312" w:hAnsi="微软雅黑" w:eastAsia="仿宋_GB2312" w:cs="仿宋_GB2312"/>
          <w:b/>
          <w:bCs/>
          <w:color w:val="000000" w:themeColor="text1"/>
          <w:kern w:val="0"/>
          <w:sz w:val="30"/>
          <w:szCs w:val="30"/>
          <w:shd w:val="clear" w:color="auto" w:fill="FFFFFF"/>
          <w14:textFill>
            <w14:solidFill>
              <w14:schemeClr w14:val="tx1"/>
            </w14:solidFill>
          </w14:textFill>
        </w:rPr>
        <w:t>）</w:t>
      </w:r>
    </w:p>
    <w:tbl>
      <w:tblPr>
        <w:tblStyle w:val="8"/>
        <w:tblW w:w="12885" w:type="dxa"/>
        <w:jc w:val="center"/>
        <w:tblLayout w:type="autofit"/>
        <w:tblCellMar>
          <w:top w:w="0" w:type="dxa"/>
          <w:left w:w="0" w:type="dxa"/>
          <w:bottom w:w="0" w:type="dxa"/>
          <w:right w:w="0" w:type="dxa"/>
        </w:tblCellMar>
      </w:tblPr>
      <w:tblGrid>
        <w:gridCol w:w="621"/>
        <w:gridCol w:w="1307"/>
        <w:gridCol w:w="1314"/>
        <w:gridCol w:w="258"/>
        <w:gridCol w:w="1152"/>
        <w:gridCol w:w="411"/>
        <w:gridCol w:w="770"/>
        <w:gridCol w:w="106"/>
        <w:gridCol w:w="1321"/>
        <w:gridCol w:w="1172"/>
        <w:gridCol w:w="1515"/>
        <w:gridCol w:w="896"/>
        <w:gridCol w:w="2042"/>
      </w:tblGrid>
      <w:tr>
        <w:tblPrEx>
          <w:tblCellMar>
            <w:top w:w="0" w:type="dxa"/>
            <w:left w:w="0" w:type="dxa"/>
            <w:bottom w:w="0" w:type="dxa"/>
            <w:right w:w="0" w:type="dxa"/>
          </w:tblCellMar>
        </w:tblPrEx>
        <w:trPr>
          <w:trHeight w:val="654" w:hRule="atLeast"/>
          <w:jc w:val="center"/>
        </w:trPr>
        <w:tc>
          <w:tcPr>
            <w:tcW w:w="1360" w:type="dxa"/>
            <w:gridSpan w:val="2"/>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事故单位</w:t>
            </w:r>
          </w:p>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名</w:t>
            </w:r>
            <w:r>
              <w:rPr>
                <w:rFonts w:ascii="Times New Roman" w:hAnsi="Times New Roman" w:cs="Times New Roman"/>
                <w:color w:val="000000" w:themeColor="text1"/>
                <w:kern w:val="0"/>
                <w:szCs w:val="21"/>
                <w14:textFill>
                  <w14:solidFill>
                    <w14:schemeClr w14:val="tx1"/>
                  </w14:solidFill>
                </w14:textFill>
              </w:rPr>
              <w:t> </w:t>
            </w:r>
            <w:r>
              <w:rPr>
                <w:rFonts w:ascii="仿宋_GB2312" w:eastAsia="仿宋_GB2312" w:cs="仿宋_GB2312"/>
                <w:color w:val="000000" w:themeColor="text1"/>
                <w:kern w:val="0"/>
                <w:szCs w:val="21"/>
                <w14:textFill>
                  <w14:solidFill>
                    <w14:schemeClr w14:val="tx1"/>
                  </w14:solidFill>
                </w14:textFill>
              </w:rPr>
              <w:t>称</w:t>
            </w:r>
          </w:p>
        </w:tc>
        <w:tc>
          <w:tcPr>
            <w:tcW w:w="7730" w:type="dxa"/>
            <w:gridSpan w:val="11"/>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widowControl/>
              <w:wordWrap w:val="0"/>
              <w:jc w:val="right"/>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（公章）</w:t>
            </w:r>
          </w:p>
        </w:tc>
      </w:tr>
      <w:tr>
        <w:tblPrEx>
          <w:tblCellMar>
            <w:top w:w="0" w:type="dxa"/>
            <w:left w:w="0" w:type="dxa"/>
            <w:bottom w:w="0" w:type="dxa"/>
            <w:right w:w="0" w:type="dxa"/>
          </w:tblCellMar>
        </w:tblPrEx>
        <w:trPr>
          <w:trHeight w:val="706" w:hRule="atLeast"/>
          <w:jc w:val="center"/>
        </w:trPr>
        <w:tc>
          <w:tcPr>
            <w:tcW w:w="1360" w:type="dxa"/>
            <w:gridSpan w:val="2"/>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法定代表人</w:t>
            </w:r>
          </w:p>
        </w:tc>
        <w:tc>
          <w:tcPr>
            <w:tcW w:w="927"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995" w:type="dxa"/>
            <w:gridSpan w:val="2"/>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地址</w:t>
            </w:r>
          </w:p>
        </w:tc>
        <w:tc>
          <w:tcPr>
            <w:tcW w:w="3736" w:type="dxa"/>
            <w:gridSpan w:val="6"/>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632" w:type="dxa"/>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邮编</w:t>
            </w:r>
          </w:p>
        </w:tc>
        <w:tc>
          <w:tcPr>
            <w:tcW w:w="1440" w:type="dxa"/>
            <w:tcBorders>
              <w:top w:val="single" w:color="auto" w:sz="8" w:space="0"/>
              <w:left w:val="nil"/>
              <w:bottom w:val="nil"/>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CellMar>
            <w:top w:w="0" w:type="dxa"/>
            <w:left w:w="0" w:type="dxa"/>
            <w:bottom w:w="0" w:type="dxa"/>
            <w:right w:w="0" w:type="dxa"/>
          </w:tblCellMar>
        </w:tblPrEx>
        <w:trPr>
          <w:trHeight w:val="419" w:hRule="atLeast"/>
          <w:jc w:val="center"/>
        </w:trPr>
        <w:tc>
          <w:tcPr>
            <w:tcW w:w="1360" w:type="dxa"/>
            <w:gridSpan w:val="2"/>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电话</w:t>
            </w:r>
          </w:p>
        </w:tc>
        <w:tc>
          <w:tcPr>
            <w:tcW w:w="1922" w:type="dxa"/>
            <w:gridSpan w:val="3"/>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833" w:type="dxa"/>
            <w:gridSpan w:val="2"/>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ind w:firstLine="180"/>
              <w:jc w:val="left"/>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传真</w:t>
            </w:r>
          </w:p>
        </w:tc>
        <w:tc>
          <w:tcPr>
            <w:tcW w:w="1834" w:type="dxa"/>
            <w:gridSpan w:val="3"/>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0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联系人</w:t>
            </w:r>
          </w:p>
        </w:tc>
        <w:tc>
          <w:tcPr>
            <w:tcW w:w="2072" w:type="dxa"/>
            <w:gridSpan w:val="2"/>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CellMar>
            <w:top w:w="0" w:type="dxa"/>
            <w:left w:w="0" w:type="dxa"/>
            <w:bottom w:w="0" w:type="dxa"/>
            <w:right w:w="0" w:type="dxa"/>
          </w:tblCellMar>
        </w:tblPrEx>
        <w:trPr>
          <w:trHeight w:val="626" w:hRule="atLeast"/>
          <w:jc w:val="center"/>
        </w:trPr>
        <w:tc>
          <w:tcPr>
            <w:tcW w:w="1360" w:type="dxa"/>
            <w:gridSpan w:val="2"/>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许可证号</w:t>
            </w:r>
          </w:p>
        </w:tc>
        <w:tc>
          <w:tcPr>
            <w:tcW w:w="1922" w:type="dxa"/>
            <w:gridSpan w:val="3"/>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840" w:type="dxa"/>
            <w:gridSpan w:val="4"/>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许可证审批机关</w:t>
            </w:r>
          </w:p>
        </w:tc>
        <w:tc>
          <w:tcPr>
            <w:tcW w:w="3968" w:type="dxa"/>
            <w:gridSpan w:val="4"/>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CellMar>
            <w:top w:w="0" w:type="dxa"/>
            <w:left w:w="0" w:type="dxa"/>
            <w:bottom w:w="0" w:type="dxa"/>
            <w:right w:w="0" w:type="dxa"/>
          </w:tblCellMar>
        </w:tblPrEx>
        <w:trPr>
          <w:trHeight w:val="797" w:hRule="atLeast"/>
          <w:jc w:val="center"/>
        </w:trPr>
        <w:tc>
          <w:tcPr>
            <w:tcW w:w="1360" w:type="dxa"/>
            <w:gridSpan w:val="2"/>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事故</w:t>
            </w:r>
          </w:p>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发生时间</w:t>
            </w:r>
          </w:p>
        </w:tc>
        <w:tc>
          <w:tcPr>
            <w:tcW w:w="1922" w:type="dxa"/>
            <w:gridSpan w:val="3"/>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840" w:type="dxa"/>
            <w:gridSpan w:val="4"/>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事故发生地点</w:t>
            </w:r>
          </w:p>
        </w:tc>
        <w:tc>
          <w:tcPr>
            <w:tcW w:w="3968" w:type="dxa"/>
            <w:gridSpan w:val="4"/>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CellMar>
            <w:top w:w="0" w:type="dxa"/>
            <w:left w:w="0" w:type="dxa"/>
            <w:bottom w:w="0" w:type="dxa"/>
            <w:right w:w="0" w:type="dxa"/>
          </w:tblCellMar>
        </w:tblPrEx>
        <w:trPr>
          <w:trHeight w:val="390" w:hRule="atLeast"/>
          <w:jc w:val="center"/>
        </w:trPr>
        <w:tc>
          <w:tcPr>
            <w:tcW w:w="1360" w:type="dxa"/>
            <w:gridSpan w:val="2"/>
            <w:vMerge w:val="restart"/>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事故</w:t>
            </w:r>
          </w:p>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类型</w:t>
            </w:r>
          </w:p>
        </w:tc>
        <w:tc>
          <w:tcPr>
            <w:tcW w:w="2830" w:type="dxa"/>
            <w:gridSpan w:val="6"/>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w:t>
            </w:r>
            <w:r>
              <w:rPr>
                <w:rFonts w:ascii="仿宋_GB2312" w:eastAsia="仿宋_GB2312" w:cs="仿宋_GB2312"/>
                <w:color w:val="000000" w:themeColor="text1"/>
                <w:kern w:val="0"/>
                <w:szCs w:val="21"/>
                <w14:textFill>
                  <w14:solidFill>
                    <w14:schemeClr w14:val="tx1"/>
                  </w14:solidFill>
                </w14:textFill>
              </w:rPr>
              <w:t>人员受照</w:t>
            </w:r>
            <w:r>
              <w:rPr>
                <w:rFonts w:ascii="Times New Roman" w:hAnsi="Times New Roman" w:cs="Times New Roman"/>
                <w:color w:val="000000" w:themeColor="text1"/>
                <w:kern w:val="0"/>
                <w:szCs w:val="21"/>
                <w14:textFill>
                  <w14:solidFill>
                    <w14:schemeClr w14:val="tx1"/>
                  </w14:solidFill>
                </w14:textFill>
              </w:rPr>
              <w:t> □</w:t>
            </w:r>
            <w:r>
              <w:rPr>
                <w:rFonts w:ascii="仿宋_GB2312" w:eastAsia="仿宋_GB2312" w:cs="仿宋_GB2312"/>
                <w:color w:val="000000" w:themeColor="text1"/>
                <w:kern w:val="0"/>
                <w:szCs w:val="21"/>
                <w14:textFill>
                  <w14:solidFill>
                    <w14:schemeClr w14:val="tx1"/>
                  </w14:solidFill>
                </w14:textFill>
              </w:rPr>
              <w:t>人员污染</w:t>
            </w:r>
          </w:p>
        </w:tc>
        <w:tc>
          <w:tcPr>
            <w:tcW w:w="4900" w:type="dxa"/>
            <w:gridSpan w:val="5"/>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widowControl/>
              <w:wordWrap w:val="0"/>
              <w:jc w:val="left"/>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受照人数</w:t>
            </w:r>
            <w:r>
              <w:rPr>
                <w:rFonts w:ascii="Times New Roman" w:hAnsi="Times New Roman" w:cs="Times New Roman"/>
                <w:color w:val="000000" w:themeColor="text1"/>
                <w:kern w:val="0"/>
                <w:szCs w:val="21"/>
                <w14:textFill>
                  <w14:solidFill>
                    <w14:schemeClr w14:val="tx1"/>
                  </w14:solidFill>
                </w14:textFill>
              </w:rPr>
              <w:t> </w:t>
            </w:r>
            <w:r>
              <w:rPr>
                <w:rFonts w:ascii="仿宋_GB2312" w:eastAsia="仿宋_GB2312" w:cs="仿宋_GB2312"/>
                <w:color w:val="000000" w:themeColor="text1"/>
                <w:kern w:val="0"/>
                <w:szCs w:val="21"/>
                <w14:textFill>
                  <w14:solidFill>
                    <w14:schemeClr w14:val="tx1"/>
                  </w14:solidFill>
                </w14:textFill>
              </w:rPr>
              <w:t>受污染人数</w:t>
            </w:r>
          </w:p>
        </w:tc>
      </w:tr>
      <w:tr>
        <w:tblPrEx>
          <w:tblCellMar>
            <w:top w:w="0" w:type="dxa"/>
            <w:left w:w="0" w:type="dxa"/>
            <w:bottom w:w="0" w:type="dxa"/>
            <w:right w:w="0" w:type="dxa"/>
          </w:tblCellMar>
        </w:tblPrEx>
        <w:trPr>
          <w:trHeight w:val="439" w:hRule="atLeast"/>
          <w:jc w:val="center"/>
        </w:trPr>
        <w:tc>
          <w:tcPr>
            <w:tcW w:w="1360" w:type="dxa"/>
            <w:gridSpan w:val="2"/>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rPr>
                <w:rFonts w:ascii="宋体"/>
                <w:color w:val="000000" w:themeColor="text1"/>
                <w:sz w:val="24"/>
                <w14:textFill>
                  <w14:solidFill>
                    <w14:schemeClr w14:val="tx1"/>
                  </w14:solidFill>
                </w14:textFill>
              </w:rPr>
            </w:pPr>
          </w:p>
        </w:tc>
        <w:tc>
          <w:tcPr>
            <w:tcW w:w="2830" w:type="dxa"/>
            <w:gridSpan w:val="6"/>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w:t>
            </w:r>
            <w:r>
              <w:rPr>
                <w:rFonts w:ascii="仿宋_GB2312" w:eastAsia="仿宋_GB2312" w:cs="仿宋_GB2312"/>
                <w:color w:val="000000" w:themeColor="text1"/>
                <w:kern w:val="0"/>
                <w:szCs w:val="21"/>
                <w14:textFill>
                  <w14:solidFill>
                    <w14:schemeClr w14:val="tx1"/>
                  </w14:solidFill>
                </w14:textFill>
              </w:rPr>
              <w:t>丢失</w:t>
            </w:r>
            <w:r>
              <w:rPr>
                <w:rFonts w:ascii="Times New Roman" w:hAnsi="Times New Roman" w:cs="Times New Roman"/>
                <w:color w:val="000000" w:themeColor="text1"/>
                <w:kern w:val="0"/>
                <w:szCs w:val="21"/>
                <w14:textFill>
                  <w14:solidFill>
                    <w14:schemeClr w14:val="tx1"/>
                  </w14:solidFill>
                </w14:textFill>
              </w:rPr>
              <w:t> □</w:t>
            </w:r>
            <w:r>
              <w:rPr>
                <w:rFonts w:ascii="仿宋_GB2312" w:eastAsia="仿宋_GB2312" w:cs="仿宋_GB2312"/>
                <w:color w:val="000000" w:themeColor="text1"/>
                <w:kern w:val="0"/>
                <w:szCs w:val="21"/>
                <w14:textFill>
                  <w14:solidFill>
                    <w14:schemeClr w14:val="tx1"/>
                  </w14:solidFill>
                </w14:textFill>
              </w:rPr>
              <w:t>被盗</w:t>
            </w:r>
            <w:r>
              <w:rPr>
                <w:rFonts w:ascii="Times New Roman" w:hAnsi="Times New Roman" w:cs="Times New Roman"/>
                <w:color w:val="000000" w:themeColor="text1"/>
                <w:kern w:val="0"/>
                <w:szCs w:val="21"/>
                <w14:textFill>
                  <w14:solidFill>
                    <w14:schemeClr w14:val="tx1"/>
                  </w14:solidFill>
                </w14:textFill>
              </w:rPr>
              <w:t> □</w:t>
            </w:r>
            <w:r>
              <w:rPr>
                <w:rFonts w:ascii="仿宋_GB2312" w:eastAsia="仿宋_GB2312" w:cs="仿宋_GB2312"/>
                <w:color w:val="000000" w:themeColor="text1"/>
                <w:kern w:val="0"/>
                <w:szCs w:val="21"/>
                <w14:textFill>
                  <w14:solidFill>
                    <w14:schemeClr w14:val="tx1"/>
                  </w14:solidFill>
                </w14:textFill>
              </w:rPr>
              <w:t>失控</w:t>
            </w:r>
          </w:p>
        </w:tc>
        <w:tc>
          <w:tcPr>
            <w:tcW w:w="4900" w:type="dxa"/>
            <w:gridSpan w:val="5"/>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widowControl/>
              <w:wordWrap w:val="0"/>
              <w:jc w:val="left"/>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事故源数量</w:t>
            </w:r>
          </w:p>
        </w:tc>
      </w:tr>
      <w:tr>
        <w:tblPrEx>
          <w:tblCellMar>
            <w:top w:w="0" w:type="dxa"/>
            <w:left w:w="0" w:type="dxa"/>
            <w:bottom w:w="0" w:type="dxa"/>
            <w:right w:w="0" w:type="dxa"/>
          </w:tblCellMar>
        </w:tblPrEx>
        <w:trPr>
          <w:trHeight w:val="387" w:hRule="atLeast"/>
          <w:jc w:val="center"/>
        </w:trPr>
        <w:tc>
          <w:tcPr>
            <w:tcW w:w="1360" w:type="dxa"/>
            <w:gridSpan w:val="2"/>
            <w:vMerge w:val="continue"/>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rPr>
                <w:rFonts w:ascii="宋体"/>
                <w:color w:val="000000" w:themeColor="text1"/>
                <w:sz w:val="24"/>
                <w14:textFill>
                  <w14:solidFill>
                    <w14:schemeClr w14:val="tx1"/>
                  </w14:solidFill>
                </w14:textFill>
              </w:rPr>
            </w:pPr>
          </w:p>
        </w:tc>
        <w:tc>
          <w:tcPr>
            <w:tcW w:w="2830" w:type="dxa"/>
            <w:gridSpan w:val="6"/>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w:t>
            </w:r>
            <w:r>
              <w:rPr>
                <w:rFonts w:ascii="仿宋_GB2312" w:eastAsia="仿宋_GB2312" w:cs="仿宋_GB2312"/>
                <w:color w:val="000000" w:themeColor="text1"/>
                <w:kern w:val="0"/>
                <w:szCs w:val="21"/>
                <w14:textFill>
                  <w14:solidFill>
                    <w14:schemeClr w14:val="tx1"/>
                  </w14:solidFill>
                </w14:textFill>
              </w:rPr>
              <w:t>放射性污染</w:t>
            </w:r>
          </w:p>
        </w:tc>
        <w:tc>
          <w:tcPr>
            <w:tcW w:w="4900" w:type="dxa"/>
            <w:gridSpan w:val="5"/>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widowControl/>
              <w:wordWrap w:val="0"/>
              <w:jc w:val="left"/>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污染面积（</w:t>
            </w:r>
            <w:r>
              <w:rPr>
                <w:rFonts w:ascii="Times New Roman" w:hAnsi="Times New Roman" w:cs="Times New Roman"/>
                <w:color w:val="000000" w:themeColor="text1"/>
                <w:kern w:val="0"/>
                <w:szCs w:val="21"/>
                <w14:textFill>
                  <w14:solidFill>
                    <w14:schemeClr w14:val="tx1"/>
                  </w14:solidFill>
                </w14:textFill>
              </w:rPr>
              <w:t>m</w:t>
            </w:r>
            <w:r>
              <w:rPr>
                <w:rFonts w:ascii="Times New Roman" w:hAnsi="Times New Roman" w:cs="Times New Roman"/>
                <w:color w:val="000000" w:themeColor="text1"/>
                <w:kern w:val="0"/>
                <w:szCs w:val="21"/>
                <w:vertAlign w:val="superscript"/>
                <w14:textFill>
                  <w14:solidFill>
                    <w14:schemeClr w14:val="tx1"/>
                  </w14:solidFill>
                </w14:textFill>
              </w:rPr>
              <w:t>2</w:t>
            </w:r>
            <w:r>
              <w:rPr>
                <w:rFonts w:ascii="仿宋_GB2312" w:eastAsia="仿宋_GB2312" w:cs="仿宋_GB2312"/>
                <w:color w:val="000000" w:themeColor="text1"/>
                <w:kern w:val="0"/>
                <w:szCs w:val="21"/>
                <w14:textFill>
                  <w14:solidFill>
                    <w14:schemeClr w14:val="tx1"/>
                  </w14:solidFill>
                </w14:textFill>
              </w:rPr>
              <w:t>）</w:t>
            </w:r>
          </w:p>
        </w:tc>
      </w:tr>
      <w:tr>
        <w:tblPrEx>
          <w:tblCellMar>
            <w:top w:w="0" w:type="dxa"/>
            <w:left w:w="0" w:type="dxa"/>
            <w:bottom w:w="0" w:type="dxa"/>
            <w:right w:w="0" w:type="dxa"/>
          </w:tblCellMar>
        </w:tblPrEx>
        <w:trPr>
          <w:trHeight w:val="886" w:hRule="atLeast"/>
          <w:jc w:val="center"/>
        </w:trPr>
        <w:tc>
          <w:tcPr>
            <w:tcW w:w="43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序号</w:t>
            </w:r>
          </w:p>
        </w:tc>
        <w:tc>
          <w:tcPr>
            <w:tcW w:w="92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事故源核素名称</w:t>
            </w:r>
          </w:p>
        </w:tc>
        <w:tc>
          <w:tcPr>
            <w:tcW w:w="1109" w:type="dxa"/>
            <w:gridSpan w:val="2"/>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出厂活度（</w:t>
            </w:r>
            <w:r>
              <w:rPr>
                <w:rFonts w:ascii="Times New Roman" w:hAnsi="Times New Roman" w:cs="Times New Roman"/>
                <w:color w:val="000000" w:themeColor="text1"/>
                <w:kern w:val="0"/>
                <w:szCs w:val="21"/>
                <w14:textFill>
                  <w14:solidFill>
                    <w14:schemeClr w14:val="tx1"/>
                  </w14:solidFill>
                </w14:textFill>
              </w:rPr>
              <w:t>Bq</w:t>
            </w:r>
            <w:r>
              <w:rPr>
                <w:rFonts w:ascii="仿宋_GB2312" w:eastAsia="仿宋_GB2312" w:cs="仿宋_GB2312"/>
                <w:color w:val="000000" w:themeColor="text1"/>
                <w:kern w:val="0"/>
                <w:szCs w:val="21"/>
                <w14:textFill>
                  <w14:solidFill>
                    <w14:schemeClr w14:val="tx1"/>
                  </w14:solidFill>
                </w14:textFill>
              </w:rPr>
              <w:t>）</w:t>
            </w:r>
          </w:p>
        </w:tc>
        <w:tc>
          <w:tcPr>
            <w:tcW w:w="1103" w:type="dxa"/>
            <w:gridSpan w:val="2"/>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出厂日期</w:t>
            </w:r>
          </w:p>
        </w:tc>
        <w:tc>
          <w:tcPr>
            <w:tcW w:w="2377" w:type="dxa"/>
            <w:gridSpan w:val="4"/>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放射源编码</w:t>
            </w:r>
          </w:p>
        </w:tc>
        <w:tc>
          <w:tcPr>
            <w:tcW w:w="10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事故时活度（</w:t>
            </w:r>
            <w:r>
              <w:rPr>
                <w:rFonts w:ascii="Times New Roman" w:hAnsi="Times New Roman" w:cs="Times New Roman"/>
                <w:color w:val="000000" w:themeColor="text1"/>
                <w:kern w:val="0"/>
                <w:szCs w:val="21"/>
                <w14:textFill>
                  <w14:solidFill>
                    <w14:schemeClr w14:val="tx1"/>
                  </w14:solidFill>
                </w14:textFill>
              </w:rPr>
              <w:t>Bq</w:t>
            </w:r>
            <w:r>
              <w:rPr>
                <w:rFonts w:ascii="仿宋_GB2312" w:eastAsia="仿宋_GB2312" w:cs="仿宋_GB2312"/>
                <w:color w:val="000000" w:themeColor="text1"/>
                <w:kern w:val="0"/>
                <w:szCs w:val="21"/>
                <w14:textFill>
                  <w14:solidFill>
                    <w14:schemeClr w14:val="tx1"/>
                  </w14:solidFill>
                </w14:textFill>
              </w:rPr>
              <w:t>）</w:t>
            </w:r>
          </w:p>
        </w:tc>
        <w:tc>
          <w:tcPr>
            <w:tcW w:w="2072" w:type="dxa"/>
            <w:gridSpan w:val="2"/>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widowControl/>
              <w:wordWrap w:val="0"/>
              <w:ind w:left="16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非密封放射性物质</w:t>
            </w:r>
          </w:p>
          <w:p>
            <w:pPr>
              <w:widowControl/>
              <w:wordWrap w:val="0"/>
              <w:ind w:left="16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状态（固</w:t>
            </w:r>
            <w:r>
              <w:rPr>
                <w:rFonts w:ascii="Times New Roman" w:hAnsi="Times New Roman" w:cs="Times New Roman"/>
                <w:color w:val="000000" w:themeColor="text1"/>
                <w:kern w:val="0"/>
                <w:szCs w:val="21"/>
                <w14:textFill>
                  <w14:solidFill>
                    <w14:schemeClr w14:val="tx1"/>
                  </w14:solidFill>
                </w14:textFill>
              </w:rPr>
              <w:t>/</w:t>
            </w:r>
            <w:r>
              <w:rPr>
                <w:rFonts w:ascii="仿宋_GB2312" w:eastAsia="仿宋_GB2312" w:cs="仿宋_GB2312"/>
                <w:color w:val="000000" w:themeColor="text1"/>
                <w:kern w:val="0"/>
                <w:szCs w:val="21"/>
                <w14:textFill>
                  <w14:solidFill>
                    <w14:schemeClr w14:val="tx1"/>
                  </w14:solidFill>
                </w14:textFill>
              </w:rPr>
              <w:t>液态）</w:t>
            </w:r>
          </w:p>
        </w:tc>
      </w:tr>
      <w:tr>
        <w:tblPrEx>
          <w:tblCellMar>
            <w:top w:w="0" w:type="dxa"/>
            <w:left w:w="0" w:type="dxa"/>
            <w:bottom w:w="0" w:type="dxa"/>
            <w:right w:w="0" w:type="dxa"/>
          </w:tblCellMar>
        </w:tblPrEx>
        <w:trPr>
          <w:trHeight w:val="421" w:hRule="atLeast"/>
          <w:jc w:val="center"/>
        </w:trPr>
        <w:tc>
          <w:tcPr>
            <w:tcW w:w="438"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922"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109" w:type="dxa"/>
            <w:gridSpan w:val="2"/>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103" w:type="dxa"/>
            <w:gridSpan w:val="2"/>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2377" w:type="dxa"/>
            <w:gridSpan w:val="4"/>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0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2072" w:type="dxa"/>
            <w:gridSpan w:val="2"/>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CellMar>
            <w:top w:w="0" w:type="dxa"/>
            <w:left w:w="0" w:type="dxa"/>
            <w:bottom w:w="0" w:type="dxa"/>
            <w:right w:w="0" w:type="dxa"/>
          </w:tblCellMar>
        </w:tblPrEx>
        <w:trPr>
          <w:trHeight w:val="433" w:hRule="atLeast"/>
          <w:jc w:val="center"/>
        </w:trPr>
        <w:tc>
          <w:tcPr>
            <w:tcW w:w="438" w:type="dxa"/>
            <w:tcBorders>
              <w:top w:val="nil"/>
              <w:left w:val="single" w:color="auto" w:sz="8" w:space="0"/>
              <w:bottom w:val="nil"/>
              <w:right w:val="nil"/>
            </w:tcBorders>
            <w:shd w:val="clear" w:color="auto" w:fill="auto"/>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922" w:type="dxa"/>
            <w:tcBorders>
              <w:top w:val="nil"/>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109" w:type="dxa"/>
            <w:gridSpan w:val="2"/>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103" w:type="dxa"/>
            <w:gridSpan w:val="2"/>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2377" w:type="dxa"/>
            <w:gridSpan w:val="4"/>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0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2072" w:type="dxa"/>
            <w:gridSpan w:val="2"/>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CellMar>
            <w:top w:w="0" w:type="dxa"/>
            <w:left w:w="0" w:type="dxa"/>
            <w:bottom w:w="0" w:type="dxa"/>
            <w:right w:w="0" w:type="dxa"/>
          </w:tblCellMar>
        </w:tblPrEx>
        <w:trPr>
          <w:trHeight w:val="702" w:hRule="atLeast"/>
          <w:jc w:val="center"/>
        </w:trPr>
        <w:tc>
          <w:tcPr>
            <w:tcW w:w="43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序号</w:t>
            </w:r>
          </w:p>
        </w:tc>
        <w:tc>
          <w:tcPr>
            <w:tcW w:w="92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射线装置名称</w:t>
            </w:r>
          </w:p>
        </w:tc>
        <w:tc>
          <w:tcPr>
            <w:tcW w:w="1109" w:type="dxa"/>
            <w:gridSpan w:val="2"/>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型号</w:t>
            </w:r>
          </w:p>
        </w:tc>
        <w:tc>
          <w:tcPr>
            <w:tcW w:w="1103" w:type="dxa"/>
            <w:gridSpan w:val="2"/>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生产厂家</w:t>
            </w:r>
          </w:p>
        </w:tc>
        <w:tc>
          <w:tcPr>
            <w:tcW w:w="2377" w:type="dxa"/>
            <w:gridSpan w:val="4"/>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设备编号</w:t>
            </w:r>
          </w:p>
        </w:tc>
        <w:tc>
          <w:tcPr>
            <w:tcW w:w="10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所在场所</w:t>
            </w:r>
          </w:p>
        </w:tc>
        <w:tc>
          <w:tcPr>
            <w:tcW w:w="2072" w:type="dxa"/>
            <w:gridSpan w:val="2"/>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主要参数</w:t>
            </w:r>
          </w:p>
        </w:tc>
      </w:tr>
      <w:tr>
        <w:tblPrEx>
          <w:tblCellMar>
            <w:top w:w="0" w:type="dxa"/>
            <w:left w:w="0" w:type="dxa"/>
            <w:bottom w:w="0" w:type="dxa"/>
            <w:right w:w="0" w:type="dxa"/>
          </w:tblCellMar>
        </w:tblPrEx>
        <w:trPr>
          <w:trHeight w:val="429" w:hRule="atLeast"/>
          <w:jc w:val="center"/>
        </w:trPr>
        <w:tc>
          <w:tcPr>
            <w:tcW w:w="43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92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109" w:type="dxa"/>
            <w:gridSpan w:val="2"/>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103" w:type="dxa"/>
            <w:gridSpan w:val="2"/>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2377" w:type="dxa"/>
            <w:gridSpan w:val="4"/>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0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2072" w:type="dxa"/>
            <w:gridSpan w:val="2"/>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CellMar>
            <w:top w:w="0" w:type="dxa"/>
            <w:left w:w="0" w:type="dxa"/>
            <w:bottom w:w="0" w:type="dxa"/>
            <w:right w:w="0" w:type="dxa"/>
          </w:tblCellMar>
        </w:tblPrEx>
        <w:trPr>
          <w:trHeight w:val="510" w:hRule="atLeast"/>
          <w:jc w:val="center"/>
        </w:trPr>
        <w:tc>
          <w:tcPr>
            <w:tcW w:w="438"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922"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109" w:type="dxa"/>
            <w:gridSpan w:val="2"/>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103" w:type="dxa"/>
            <w:gridSpan w:val="2"/>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2377" w:type="dxa"/>
            <w:gridSpan w:val="4"/>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069" w:type="dxa"/>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2072" w:type="dxa"/>
            <w:gridSpan w:val="2"/>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CellMar>
            <w:top w:w="0" w:type="dxa"/>
            <w:left w:w="0" w:type="dxa"/>
            <w:bottom w:w="0" w:type="dxa"/>
            <w:right w:w="0" w:type="dxa"/>
          </w:tblCellMar>
        </w:tblPrEx>
        <w:trPr>
          <w:trHeight w:val="2521" w:hRule="atLeast"/>
          <w:jc w:val="center"/>
        </w:trPr>
        <w:tc>
          <w:tcPr>
            <w:tcW w:w="1360" w:type="dxa"/>
            <w:gridSpan w:val="2"/>
            <w:tcBorders>
              <w:top w:val="single" w:color="auto" w:sz="8" w:space="0"/>
              <w:left w:val="single" w:color="auto" w:sz="8" w:space="0"/>
              <w:bottom w:val="nil"/>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事故经过</w:t>
            </w:r>
          </w:p>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情况</w:t>
            </w:r>
          </w:p>
        </w:tc>
        <w:tc>
          <w:tcPr>
            <w:tcW w:w="7730" w:type="dxa"/>
            <w:gridSpan w:val="11"/>
            <w:tcBorders>
              <w:top w:val="single" w:color="auto" w:sz="8" w:space="0"/>
              <w:left w:val="single" w:color="auto" w:sz="8" w:space="0"/>
              <w:bottom w:val="nil"/>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CellMar>
            <w:top w:w="0" w:type="dxa"/>
            <w:left w:w="0" w:type="dxa"/>
            <w:bottom w:w="0" w:type="dxa"/>
            <w:right w:w="0" w:type="dxa"/>
          </w:tblCellMar>
        </w:tblPrEx>
        <w:trPr>
          <w:trHeight w:val="694" w:hRule="atLeast"/>
          <w:jc w:val="center"/>
        </w:trPr>
        <w:tc>
          <w:tcPr>
            <w:tcW w:w="1360" w:type="dxa"/>
            <w:gridSpan w:val="2"/>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报告人签字</w:t>
            </w:r>
          </w:p>
        </w:tc>
        <w:tc>
          <w:tcPr>
            <w:tcW w:w="927" w:type="dxa"/>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285" w:type="dxa"/>
            <w:gridSpan w:val="3"/>
            <w:tcBorders>
              <w:top w:val="single" w:color="auto" w:sz="8" w:space="0"/>
              <w:left w:val="single" w:color="auto" w:sz="8" w:space="0"/>
              <w:bottom w:val="single" w:color="auto" w:sz="8" w:space="0"/>
              <w:right w:val="nil"/>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报告时间</w:t>
            </w:r>
          </w:p>
        </w:tc>
        <w:tc>
          <w:tcPr>
            <w:tcW w:w="5518" w:type="dxa"/>
            <w:gridSpan w:val="7"/>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年</w:t>
            </w:r>
            <w:r>
              <w:rPr>
                <w:rFonts w:ascii="Times New Roman" w:hAnsi="Times New Roman" w:cs="Times New Roman"/>
                <w:color w:val="000000" w:themeColor="text1"/>
                <w:kern w:val="0"/>
                <w:szCs w:val="21"/>
                <w14:textFill>
                  <w14:solidFill>
                    <w14:schemeClr w14:val="tx1"/>
                  </w14:solidFill>
                </w14:textFill>
              </w:rPr>
              <w:t> </w:t>
            </w:r>
            <w:r>
              <w:rPr>
                <w:rFonts w:ascii="仿宋_GB2312" w:eastAsia="仿宋_GB2312" w:cs="仿宋_GB2312"/>
                <w:color w:val="000000" w:themeColor="text1"/>
                <w:kern w:val="0"/>
                <w:szCs w:val="21"/>
                <w14:textFill>
                  <w14:solidFill>
                    <w14:schemeClr w14:val="tx1"/>
                  </w14:solidFill>
                </w14:textFill>
              </w:rPr>
              <w:t>月</w:t>
            </w:r>
            <w:r>
              <w:rPr>
                <w:rFonts w:ascii="Times New Roman" w:hAnsi="Times New Roman" w:cs="Times New Roman"/>
                <w:color w:val="000000" w:themeColor="text1"/>
                <w:kern w:val="0"/>
                <w:szCs w:val="21"/>
                <w14:textFill>
                  <w14:solidFill>
                    <w14:schemeClr w14:val="tx1"/>
                  </w14:solidFill>
                </w14:textFill>
              </w:rPr>
              <w:t> </w:t>
            </w:r>
            <w:r>
              <w:rPr>
                <w:rFonts w:ascii="仿宋_GB2312" w:eastAsia="仿宋_GB2312" w:cs="仿宋_GB2312"/>
                <w:color w:val="000000" w:themeColor="text1"/>
                <w:kern w:val="0"/>
                <w:szCs w:val="21"/>
                <w14:textFill>
                  <w14:solidFill>
                    <w14:schemeClr w14:val="tx1"/>
                  </w14:solidFill>
                </w14:textFill>
              </w:rPr>
              <w:t>日</w:t>
            </w:r>
            <w:r>
              <w:rPr>
                <w:rFonts w:ascii="Times New Roman" w:hAnsi="Times New Roman" w:cs="Times New Roman"/>
                <w:color w:val="000000" w:themeColor="text1"/>
                <w:kern w:val="0"/>
                <w:szCs w:val="21"/>
                <w14:textFill>
                  <w14:solidFill>
                    <w14:schemeClr w14:val="tx1"/>
                  </w14:solidFill>
                </w14:textFill>
              </w:rPr>
              <w:t> </w:t>
            </w:r>
            <w:r>
              <w:rPr>
                <w:rFonts w:ascii="仿宋_GB2312" w:eastAsia="仿宋_GB2312" w:cs="仿宋_GB2312"/>
                <w:color w:val="000000" w:themeColor="text1"/>
                <w:kern w:val="0"/>
                <w:szCs w:val="21"/>
                <w14:textFill>
                  <w14:solidFill>
                    <w14:schemeClr w14:val="tx1"/>
                  </w14:solidFill>
                </w14:textFill>
              </w:rPr>
              <w:t>时</w:t>
            </w:r>
            <w:r>
              <w:rPr>
                <w:rFonts w:ascii="Times New Roman" w:hAnsi="Times New Roman" w:cs="Times New Roman"/>
                <w:color w:val="000000" w:themeColor="text1"/>
                <w:kern w:val="0"/>
                <w:szCs w:val="21"/>
                <w14:textFill>
                  <w14:solidFill>
                    <w14:schemeClr w14:val="tx1"/>
                  </w14:solidFill>
                </w14:textFill>
              </w:rPr>
              <w:t> </w:t>
            </w:r>
            <w:r>
              <w:rPr>
                <w:rFonts w:ascii="仿宋_GB2312" w:eastAsia="仿宋_GB2312" w:cs="仿宋_GB2312"/>
                <w:color w:val="000000" w:themeColor="text1"/>
                <w:kern w:val="0"/>
                <w:szCs w:val="21"/>
                <w14:textFill>
                  <w14:solidFill>
                    <w14:schemeClr w14:val="tx1"/>
                  </w14:solidFill>
                </w14:textFill>
              </w:rPr>
              <w:t>分</w:t>
            </w:r>
          </w:p>
        </w:tc>
      </w:tr>
    </w:tbl>
    <w:p>
      <w:pPr>
        <w:widowControl/>
        <w:spacing w:line="248" w:lineRule="atLeast"/>
        <w:ind w:firstLine="440"/>
        <w:jc w:val="left"/>
        <w:rPr>
          <w:color w:val="000000" w:themeColor="text1"/>
          <w14:textFill>
            <w14:solidFill>
              <w14:schemeClr w14:val="tx1"/>
            </w14:solidFill>
          </w14:textFill>
        </w:rPr>
      </w:pPr>
      <w:r>
        <w:rPr>
          <w:rFonts w:ascii="仿宋_GB2312" w:hAnsi="微软雅黑" w:eastAsia="仿宋_GB2312" w:cs="仿宋_GB2312"/>
          <w:color w:val="000000" w:themeColor="text1"/>
          <w:kern w:val="0"/>
          <w:sz w:val="22"/>
          <w:szCs w:val="22"/>
          <w:shd w:val="clear" w:color="auto" w:fill="FFFFFF"/>
          <w14:textFill>
            <w14:solidFill>
              <w14:schemeClr w14:val="tx1"/>
            </w14:solidFill>
          </w14:textFill>
        </w:rPr>
        <w:t>注：射线装置的</w:t>
      </w:r>
      <w:r>
        <w:rPr>
          <w:rFonts w:ascii="Times New Roman" w:hAnsi="Times New Roman" w:eastAsia="微软雅黑" w:cs="Times New Roman"/>
          <w:color w:val="000000" w:themeColor="text1"/>
          <w:kern w:val="0"/>
          <w:sz w:val="22"/>
          <w:szCs w:val="22"/>
          <w:shd w:val="clear" w:color="auto" w:fill="FFFFFF"/>
          <w14:textFill>
            <w14:solidFill>
              <w14:schemeClr w14:val="tx1"/>
            </w14:solidFill>
          </w14:textFill>
        </w:rPr>
        <w:t>“</w:t>
      </w:r>
      <w:r>
        <w:rPr>
          <w:rFonts w:ascii="仿宋_GB2312" w:hAnsi="微软雅黑" w:eastAsia="仿宋_GB2312" w:cs="仿宋_GB2312"/>
          <w:color w:val="000000" w:themeColor="text1"/>
          <w:kern w:val="0"/>
          <w:sz w:val="22"/>
          <w:szCs w:val="22"/>
          <w:shd w:val="clear" w:color="auto" w:fill="FFFFFF"/>
          <w14:textFill>
            <w14:solidFill>
              <w14:schemeClr w14:val="tx1"/>
            </w14:solidFill>
          </w14:textFill>
        </w:rPr>
        <w:t>主要参数</w:t>
      </w:r>
      <w:r>
        <w:rPr>
          <w:rFonts w:ascii="Times New Roman" w:hAnsi="Times New Roman" w:eastAsia="微软雅黑" w:cs="Times New Roman"/>
          <w:color w:val="000000" w:themeColor="text1"/>
          <w:kern w:val="0"/>
          <w:sz w:val="22"/>
          <w:szCs w:val="22"/>
          <w:shd w:val="clear" w:color="auto" w:fill="FFFFFF"/>
          <w14:textFill>
            <w14:solidFill>
              <w14:schemeClr w14:val="tx1"/>
            </w14:solidFill>
          </w14:textFill>
        </w:rPr>
        <w:t>”</w:t>
      </w:r>
      <w:r>
        <w:rPr>
          <w:rFonts w:ascii="仿宋_GB2312" w:hAnsi="微软雅黑" w:eastAsia="仿宋_GB2312" w:cs="仿宋_GB2312"/>
          <w:color w:val="000000" w:themeColor="text1"/>
          <w:kern w:val="0"/>
          <w:sz w:val="22"/>
          <w:szCs w:val="22"/>
          <w:shd w:val="clear" w:color="auto" w:fill="FFFFFF"/>
          <w14:textFill>
            <w14:solidFill>
              <w14:schemeClr w14:val="tx1"/>
            </w14:solidFill>
          </w14:textFill>
        </w:rPr>
        <w:t>是指</w:t>
      </w:r>
      <w:r>
        <w:rPr>
          <w:rFonts w:ascii="Times New Roman" w:hAnsi="Times New Roman" w:eastAsia="微软雅黑" w:cs="Times New Roman"/>
          <w:color w:val="000000" w:themeColor="text1"/>
          <w:kern w:val="0"/>
          <w:sz w:val="22"/>
          <w:szCs w:val="22"/>
          <w:shd w:val="clear" w:color="auto" w:fill="FFFFFF"/>
          <w14:textFill>
            <w14:solidFill>
              <w14:schemeClr w14:val="tx1"/>
            </w14:solidFill>
          </w14:textFill>
        </w:rPr>
        <w:t>X</w:t>
      </w:r>
      <w:r>
        <w:rPr>
          <w:rFonts w:ascii="仿宋_GB2312" w:hAnsi="微软雅黑" w:eastAsia="仿宋_GB2312" w:cs="仿宋_GB2312"/>
          <w:color w:val="000000" w:themeColor="text1"/>
          <w:kern w:val="0"/>
          <w:sz w:val="22"/>
          <w:szCs w:val="22"/>
          <w:shd w:val="clear" w:color="auto" w:fill="FFFFFF"/>
          <w14:textFill>
            <w14:solidFill>
              <w14:schemeClr w14:val="tx1"/>
            </w14:solidFill>
          </w14:textFill>
        </w:rPr>
        <w:t>射线机的电流（</w:t>
      </w:r>
      <w:r>
        <w:rPr>
          <w:rFonts w:ascii="Times New Roman" w:hAnsi="Times New Roman" w:eastAsia="微软雅黑" w:cs="Times New Roman"/>
          <w:color w:val="000000" w:themeColor="text1"/>
          <w:kern w:val="0"/>
          <w:sz w:val="22"/>
          <w:szCs w:val="22"/>
          <w:shd w:val="clear" w:color="auto" w:fill="FFFFFF"/>
          <w14:textFill>
            <w14:solidFill>
              <w14:schemeClr w14:val="tx1"/>
            </w14:solidFill>
          </w14:textFill>
        </w:rPr>
        <w:t>mA</w:t>
      </w:r>
      <w:r>
        <w:rPr>
          <w:rFonts w:ascii="仿宋_GB2312" w:hAnsi="微软雅黑" w:eastAsia="仿宋_GB2312" w:cs="仿宋_GB2312"/>
          <w:color w:val="000000" w:themeColor="text1"/>
          <w:kern w:val="0"/>
          <w:sz w:val="22"/>
          <w:szCs w:val="22"/>
          <w:shd w:val="clear" w:color="auto" w:fill="FFFFFF"/>
          <w14:textFill>
            <w14:solidFill>
              <w14:schemeClr w14:val="tx1"/>
            </w14:solidFill>
          </w14:textFill>
        </w:rPr>
        <w:t>）和电压（</w:t>
      </w:r>
      <w:r>
        <w:rPr>
          <w:rFonts w:ascii="Times New Roman" w:hAnsi="Times New Roman" w:eastAsia="微软雅黑" w:cs="Times New Roman"/>
          <w:color w:val="000000" w:themeColor="text1"/>
          <w:kern w:val="0"/>
          <w:sz w:val="22"/>
          <w:szCs w:val="22"/>
          <w:shd w:val="clear" w:color="auto" w:fill="FFFFFF"/>
          <w14:textFill>
            <w14:solidFill>
              <w14:schemeClr w14:val="tx1"/>
            </w14:solidFill>
          </w14:textFill>
        </w:rPr>
        <w:t>kV</w:t>
      </w:r>
      <w:r>
        <w:rPr>
          <w:rFonts w:ascii="仿宋_GB2312" w:hAnsi="微软雅黑" w:eastAsia="仿宋_GB2312" w:cs="仿宋_GB2312"/>
          <w:color w:val="000000" w:themeColor="text1"/>
          <w:kern w:val="0"/>
          <w:sz w:val="22"/>
          <w:szCs w:val="22"/>
          <w:shd w:val="clear" w:color="auto" w:fill="FFFFFF"/>
          <w14:textFill>
            <w14:solidFill>
              <w14:schemeClr w14:val="tx1"/>
            </w14:solidFill>
          </w14:textFill>
        </w:rPr>
        <w:t>）、加速器线束能量等主要性能参数。</w:t>
      </w:r>
    </w:p>
    <w:p>
      <w:pPr>
        <w:widowControl/>
        <w:shd w:val="clear" w:color="auto" w:fill="FFFFFF"/>
        <w:rPr>
          <w:rFonts w:ascii="微软雅黑" w:hAnsi="微软雅黑" w:eastAsia="微软雅黑" w:cs="微软雅黑"/>
          <w:color w:val="000000" w:themeColor="text1"/>
          <w:sz w:val="24"/>
          <w14:textFill>
            <w14:solidFill>
              <w14:schemeClr w14:val="tx1"/>
            </w14:solidFill>
          </w14:textFill>
        </w:rPr>
      </w:pPr>
    </w:p>
    <w:p>
      <w:pPr>
        <w:widowControl/>
        <w:jc w:val="center"/>
        <w:rPr>
          <w:rFonts w:ascii="Times New Roman" w:hAnsi="Times New Roman" w:eastAsia="微软雅黑" w:cs="Times New Roman"/>
          <w:b/>
          <w:bCs/>
          <w:color w:val="000000" w:themeColor="text1"/>
          <w:kern w:val="0"/>
          <w:sz w:val="30"/>
          <w:szCs w:val="30"/>
          <w:u w:val="single"/>
          <w:shd w:val="clear" w:color="auto" w:fill="FFFFFF"/>
          <w14:textFill>
            <w14:solidFill>
              <w14:schemeClr w14:val="tx1"/>
            </w14:solidFill>
          </w14:textFill>
        </w:rPr>
      </w:pPr>
    </w:p>
    <w:p>
      <w:pPr>
        <w:widowControl/>
        <w:jc w:val="center"/>
        <w:rPr>
          <w:rFonts w:ascii="Times New Roman" w:hAnsi="Times New Roman" w:eastAsia="微软雅黑" w:cs="Times New Roman"/>
          <w:b/>
          <w:bCs/>
          <w:color w:val="000000" w:themeColor="text1"/>
          <w:kern w:val="0"/>
          <w:sz w:val="30"/>
          <w:szCs w:val="30"/>
          <w:u w:val="single"/>
          <w:shd w:val="clear" w:color="auto" w:fill="FFFFFF"/>
          <w14:textFill>
            <w14:solidFill>
              <w14:schemeClr w14:val="tx1"/>
            </w14:solidFill>
          </w14:textFill>
        </w:rPr>
      </w:pPr>
    </w:p>
    <w:p>
      <w:pPr>
        <w:widowControl/>
        <w:jc w:val="center"/>
        <w:rPr>
          <w:rFonts w:ascii="Times New Roman" w:hAnsi="Times New Roman" w:eastAsia="微软雅黑" w:cs="Times New Roman"/>
          <w:b/>
          <w:bCs/>
          <w:color w:val="000000" w:themeColor="text1"/>
          <w:kern w:val="0"/>
          <w:sz w:val="30"/>
          <w:szCs w:val="30"/>
          <w:u w:val="single"/>
          <w:shd w:val="clear" w:color="auto" w:fill="FFFFFF"/>
          <w14:textFill>
            <w14:solidFill>
              <w14:schemeClr w14:val="tx1"/>
            </w14:solidFill>
          </w14:textFill>
        </w:rPr>
      </w:pPr>
    </w:p>
    <w:p>
      <w:pPr>
        <w:widowControl/>
        <w:jc w:val="center"/>
        <w:rPr>
          <w:color w:val="000000" w:themeColor="text1"/>
          <w14:textFill>
            <w14:solidFill>
              <w14:schemeClr w14:val="tx1"/>
            </w14:solidFill>
          </w14:textFill>
        </w:rPr>
      </w:pPr>
      <w:bookmarkStart w:id="219" w:name="_Toc184371780_WPSOffice_Level1"/>
      <w:bookmarkStart w:id="220" w:name="_Toc1115952058_WPSOffice_Level1"/>
      <w:r>
        <w:rPr>
          <w:rFonts w:ascii="Times New Roman" w:hAnsi="Times New Roman" w:eastAsia="微软雅黑" w:cs="Times New Roman"/>
          <w:b/>
          <w:bCs/>
          <w:color w:val="000000" w:themeColor="text1"/>
          <w:kern w:val="0"/>
          <w:sz w:val="30"/>
          <w:szCs w:val="30"/>
          <w:u w:val="single"/>
          <w:shd w:val="clear" w:color="auto" w:fill="FFFFFF"/>
          <w14:textFill>
            <w14:solidFill>
              <w14:schemeClr w14:val="tx1"/>
            </w14:solidFill>
          </w14:textFill>
        </w:rPr>
        <w:t>             </w:t>
      </w:r>
      <w:r>
        <w:rPr>
          <w:rFonts w:ascii="仿宋_GB2312" w:hAnsi="微软雅黑" w:eastAsia="仿宋_GB2312" w:cs="仿宋_GB2312"/>
          <w:b/>
          <w:bCs/>
          <w:color w:val="000000" w:themeColor="text1"/>
          <w:kern w:val="0"/>
          <w:sz w:val="30"/>
          <w:szCs w:val="30"/>
          <w:shd w:val="clear" w:color="auto" w:fill="FFFFFF"/>
          <w14:textFill>
            <w14:solidFill>
              <w14:schemeClr w14:val="tx1"/>
            </w14:solidFill>
          </w14:textFill>
        </w:rPr>
        <w:t>辐射事故初始报告表（部门）</w:t>
      </w:r>
      <w:bookmarkEnd w:id="219"/>
      <w:bookmarkEnd w:id="220"/>
    </w:p>
    <w:tbl>
      <w:tblPr>
        <w:tblStyle w:val="8"/>
        <w:tblW w:w="1288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21"/>
        <w:gridCol w:w="1306"/>
        <w:gridCol w:w="1493"/>
        <w:gridCol w:w="1230"/>
        <w:gridCol w:w="411"/>
        <w:gridCol w:w="771"/>
        <w:gridCol w:w="105"/>
        <w:gridCol w:w="1321"/>
        <w:gridCol w:w="1174"/>
        <w:gridCol w:w="1439"/>
        <w:gridCol w:w="301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4" w:hRule="atLeast"/>
          <w:jc w:val="center"/>
        </w:trPr>
        <w:tc>
          <w:tcPr>
            <w:tcW w:w="1360"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事故单位</w:t>
            </w:r>
          </w:p>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名</w:t>
            </w:r>
            <w:r>
              <w:rPr>
                <w:rFonts w:ascii="Times New Roman" w:hAnsi="Times New Roman" w:cs="Times New Roman"/>
                <w:color w:val="000000" w:themeColor="text1"/>
                <w:kern w:val="0"/>
                <w:szCs w:val="21"/>
                <w14:textFill>
                  <w14:solidFill>
                    <w14:schemeClr w14:val="tx1"/>
                  </w14:solidFill>
                </w14:textFill>
              </w:rPr>
              <w:t> </w:t>
            </w:r>
            <w:r>
              <w:rPr>
                <w:rFonts w:ascii="仿宋_GB2312" w:eastAsia="仿宋_GB2312" w:cs="仿宋_GB2312"/>
                <w:color w:val="000000" w:themeColor="text1"/>
                <w:kern w:val="0"/>
                <w:szCs w:val="21"/>
                <w14:textFill>
                  <w14:solidFill>
                    <w14:schemeClr w14:val="tx1"/>
                  </w14:solidFill>
                </w14:textFill>
              </w:rPr>
              <w:t>称</w:t>
            </w:r>
          </w:p>
        </w:tc>
        <w:tc>
          <w:tcPr>
            <w:tcW w:w="7730" w:type="dxa"/>
            <w:gridSpan w:val="9"/>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right"/>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（公章）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7" w:hRule="atLeast"/>
          <w:jc w:val="center"/>
        </w:trPr>
        <w:tc>
          <w:tcPr>
            <w:tcW w:w="1360" w:type="dxa"/>
            <w:gridSpan w:val="2"/>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事故单位</w:t>
            </w:r>
          </w:p>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电</w:t>
            </w:r>
            <w:r>
              <w:rPr>
                <w:rFonts w:ascii="Times New Roman" w:hAnsi="Times New Roman" w:cs="Times New Roman"/>
                <w:color w:val="000000" w:themeColor="text1"/>
                <w:kern w:val="0"/>
                <w:szCs w:val="21"/>
                <w14:textFill>
                  <w14:solidFill>
                    <w14:schemeClr w14:val="tx1"/>
                  </w14:solidFill>
                </w14:textFill>
              </w:rPr>
              <w:t> </w:t>
            </w:r>
            <w:r>
              <w:rPr>
                <w:rFonts w:ascii="仿宋_GB2312" w:eastAsia="仿宋_GB2312" w:cs="仿宋_GB2312"/>
                <w:color w:val="000000" w:themeColor="text1"/>
                <w:kern w:val="0"/>
                <w:szCs w:val="21"/>
                <w14:textFill>
                  <w14:solidFill>
                    <w14:schemeClr w14:val="tx1"/>
                  </w14:solidFill>
                </w14:textFill>
              </w:rPr>
              <w:t>话</w:t>
            </w:r>
          </w:p>
        </w:tc>
        <w:tc>
          <w:tcPr>
            <w:tcW w:w="1921" w:type="dxa"/>
            <w:gridSpan w:val="2"/>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834"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ind w:firstLine="180"/>
              <w:jc w:val="left"/>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传真</w:t>
            </w:r>
          </w:p>
        </w:tc>
        <w:tc>
          <w:tcPr>
            <w:tcW w:w="1834"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015" w:type="dxa"/>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联系人</w:t>
            </w:r>
          </w:p>
        </w:tc>
        <w:tc>
          <w:tcPr>
            <w:tcW w:w="2126" w:type="dxa"/>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97" w:hRule="atLeast"/>
          <w:jc w:val="center"/>
        </w:trPr>
        <w:tc>
          <w:tcPr>
            <w:tcW w:w="1360" w:type="dxa"/>
            <w:gridSpan w:val="2"/>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事</w:t>
            </w:r>
            <w:r>
              <w:rPr>
                <w:rFonts w:ascii="Times New Roman" w:hAnsi="Times New Roman" w:cs="Times New Roman"/>
                <w:color w:val="000000" w:themeColor="text1"/>
                <w:kern w:val="0"/>
                <w:szCs w:val="21"/>
                <w14:textFill>
                  <w14:solidFill>
                    <w14:schemeClr w14:val="tx1"/>
                  </w14:solidFill>
                </w14:textFill>
              </w:rPr>
              <w:t> </w:t>
            </w:r>
            <w:r>
              <w:rPr>
                <w:rFonts w:ascii="仿宋_GB2312" w:eastAsia="仿宋_GB2312" w:cs="仿宋_GB2312"/>
                <w:color w:val="000000" w:themeColor="text1"/>
                <w:kern w:val="0"/>
                <w:szCs w:val="21"/>
                <w14:textFill>
                  <w14:solidFill>
                    <w14:schemeClr w14:val="tx1"/>
                  </w14:solidFill>
                </w14:textFill>
              </w:rPr>
              <w:t>故</w:t>
            </w:r>
          </w:p>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发生时间</w:t>
            </w:r>
          </w:p>
        </w:tc>
        <w:tc>
          <w:tcPr>
            <w:tcW w:w="1921" w:type="dxa"/>
            <w:gridSpan w:val="2"/>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840" w:type="dxa"/>
            <w:gridSpan w:val="4"/>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事故发生地点</w:t>
            </w:r>
          </w:p>
        </w:tc>
        <w:tc>
          <w:tcPr>
            <w:tcW w:w="3969" w:type="dxa"/>
            <w:gridSpan w:val="3"/>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1360" w:type="dxa"/>
            <w:gridSpan w:val="2"/>
            <w:vMerge w:val="restart"/>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事故</w:t>
            </w:r>
          </w:p>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类型</w:t>
            </w:r>
          </w:p>
        </w:tc>
        <w:tc>
          <w:tcPr>
            <w:tcW w:w="2829" w:type="dxa"/>
            <w:gridSpan w:val="5"/>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w:t>
            </w:r>
            <w:r>
              <w:rPr>
                <w:rFonts w:ascii="仿宋_GB2312" w:eastAsia="仿宋_GB2312" w:cs="仿宋_GB2312"/>
                <w:color w:val="000000" w:themeColor="text1"/>
                <w:kern w:val="0"/>
                <w:szCs w:val="21"/>
                <w14:textFill>
                  <w14:solidFill>
                    <w14:schemeClr w14:val="tx1"/>
                  </w14:solidFill>
                </w14:textFill>
              </w:rPr>
              <w:t>人员受照</w:t>
            </w:r>
            <w:r>
              <w:rPr>
                <w:rFonts w:ascii="Times New Roman" w:hAnsi="Times New Roman" w:cs="Times New Roman"/>
                <w:color w:val="000000" w:themeColor="text1"/>
                <w:kern w:val="0"/>
                <w:szCs w:val="21"/>
                <w14:textFill>
                  <w14:solidFill>
                    <w14:schemeClr w14:val="tx1"/>
                  </w14:solidFill>
                </w14:textFill>
              </w:rPr>
              <w:t> □</w:t>
            </w:r>
            <w:r>
              <w:rPr>
                <w:rFonts w:ascii="仿宋_GB2312" w:eastAsia="仿宋_GB2312" w:cs="仿宋_GB2312"/>
                <w:color w:val="000000" w:themeColor="text1"/>
                <w:kern w:val="0"/>
                <w:szCs w:val="21"/>
                <w14:textFill>
                  <w14:solidFill>
                    <w14:schemeClr w14:val="tx1"/>
                  </w14:solidFill>
                </w14:textFill>
              </w:rPr>
              <w:t>人员污染</w:t>
            </w:r>
          </w:p>
        </w:tc>
        <w:tc>
          <w:tcPr>
            <w:tcW w:w="4901" w:type="dxa"/>
            <w:gridSpan w:val="4"/>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left"/>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受照人数</w:t>
            </w:r>
            <w:r>
              <w:rPr>
                <w:rFonts w:ascii="Times New Roman" w:hAnsi="Times New Roman" w:cs="Times New Roman"/>
                <w:color w:val="000000" w:themeColor="text1"/>
                <w:kern w:val="0"/>
                <w:szCs w:val="21"/>
                <w14:textFill>
                  <w14:solidFill>
                    <w14:schemeClr w14:val="tx1"/>
                  </w14:solidFill>
                </w14:textFill>
              </w:rPr>
              <w:t> </w:t>
            </w:r>
            <w:r>
              <w:rPr>
                <w:rFonts w:ascii="仿宋_GB2312" w:eastAsia="仿宋_GB2312" w:cs="仿宋_GB2312"/>
                <w:color w:val="000000" w:themeColor="text1"/>
                <w:kern w:val="0"/>
                <w:szCs w:val="21"/>
                <w14:textFill>
                  <w14:solidFill>
                    <w14:schemeClr w14:val="tx1"/>
                  </w14:solidFill>
                </w14:textFill>
              </w:rPr>
              <w:t>受污染人数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9" w:hRule="atLeast"/>
          <w:jc w:val="center"/>
        </w:trPr>
        <w:tc>
          <w:tcPr>
            <w:tcW w:w="1360" w:type="dxa"/>
            <w:gridSpan w:val="2"/>
            <w:vMerge w:val="continue"/>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rPr>
                <w:rFonts w:ascii="宋体"/>
                <w:color w:val="000000" w:themeColor="text1"/>
                <w:sz w:val="24"/>
                <w14:textFill>
                  <w14:solidFill>
                    <w14:schemeClr w14:val="tx1"/>
                  </w14:solidFill>
                </w14:textFill>
              </w:rPr>
            </w:pPr>
          </w:p>
        </w:tc>
        <w:tc>
          <w:tcPr>
            <w:tcW w:w="2829" w:type="dxa"/>
            <w:gridSpan w:val="5"/>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w:t>
            </w:r>
            <w:r>
              <w:rPr>
                <w:rFonts w:ascii="仿宋_GB2312" w:eastAsia="仿宋_GB2312" w:cs="仿宋_GB2312"/>
                <w:color w:val="000000" w:themeColor="text1"/>
                <w:kern w:val="0"/>
                <w:szCs w:val="21"/>
                <w14:textFill>
                  <w14:solidFill>
                    <w14:schemeClr w14:val="tx1"/>
                  </w14:solidFill>
                </w14:textFill>
              </w:rPr>
              <w:t>丢失</w:t>
            </w:r>
            <w:r>
              <w:rPr>
                <w:rFonts w:ascii="Times New Roman" w:hAnsi="Times New Roman" w:cs="Times New Roman"/>
                <w:color w:val="000000" w:themeColor="text1"/>
                <w:kern w:val="0"/>
                <w:szCs w:val="21"/>
                <w14:textFill>
                  <w14:solidFill>
                    <w14:schemeClr w14:val="tx1"/>
                  </w14:solidFill>
                </w14:textFill>
              </w:rPr>
              <w:t> □</w:t>
            </w:r>
            <w:r>
              <w:rPr>
                <w:rFonts w:ascii="仿宋_GB2312" w:eastAsia="仿宋_GB2312" w:cs="仿宋_GB2312"/>
                <w:color w:val="000000" w:themeColor="text1"/>
                <w:kern w:val="0"/>
                <w:szCs w:val="21"/>
                <w14:textFill>
                  <w14:solidFill>
                    <w14:schemeClr w14:val="tx1"/>
                  </w14:solidFill>
                </w14:textFill>
              </w:rPr>
              <w:t>被盗</w:t>
            </w:r>
            <w:r>
              <w:rPr>
                <w:rFonts w:ascii="Times New Roman" w:hAnsi="Times New Roman" w:cs="Times New Roman"/>
                <w:color w:val="000000" w:themeColor="text1"/>
                <w:kern w:val="0"/>
                <w:szCs w:val="21"/>
                <w14:textFill>
                  <w14:solidFill>
                    <w14:schemeClr w14:val="tx1"/>
                  </w14:solidFill>
                </w14:textFill>
              </w:rPr>
              <w:t> □</w:t>
            </w:r>
            <w:r>
              <w:rPr>
                <w:rFonts w:ascii="仿宋_GB2312" w:eastAsia="仿宋_GB2312" w:cs="仿宋_GB2312"/>
                <w:color w:val="000000" w:themeColor="text1"/>
                <w:kern w:val="0"/>
                <w:szCs w:val="21"/>
                <w14:textFill>
                  <w14:solidFill>
                    <w14:schemeClr w14:val="tx1"/>
                  </w14:solidFill>
                </w14:textFill>
              </w:rPr>
              <w:t>失控</w:t>
            </w:r>
          </w:p>
        </w:tc>
        <w:tc>
          <w:tcPr>
            <w:tcW w:w="4901" w:type="dxa"/>
            <w:gridSpan w:val="4"/>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left"/>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事故源数量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1360" w:type="dxa"/>
            <w:gridSpan w:val="2"/>
            <w:vMerge w:val="continue"/>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rPr>
                <w:rFonts w:ascii="宋体"/>
                <w:color w:val="000000" w:themeColor="text1"/>
                <w:sz w:val="24"/>
                <w14:textFill>
                  <w14:solidFill>
                    <w14:schemeClr w14:val="tx1"/>
                  </w14:solidFill>
                </w14:textFill>
              </w:rPr>
            </w:pPr>
          </w:p>
        </w:tc>
        <w:tc>
          <w:tcPr>
            <w:tcW w:w="2829" w:type="dxa"/>
            <w:gridSpan w:val="5"/>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w:t>
            </w:r>
            <w:r>
              <w:rPr>
                <w:rFonts w:ascii="仿宋_GB2312" w:eastAsia="仿宋_GB2312" w:cs="仿宋_GB2312"/>
                <w:color w:val="000000" w:themeColor="text1"/>
                <w:kern w:val="0"/>
                <w:szCs w:val="21"/>
                <w14:textFill>
                  <w14:solidFill>
                    <w14:schemeClr w14:val="tx1"/>
                  </w14:solidFill>
                </w14:textFill>
              </w:rPr>
              <w:t>放射性污染</w:t>
            </w:r>
          </w:p>
        </w:tc>
        <w:tc>
          <w:tcPr>
            <w:tcW w:w="4901" w:type="dxa"/>
            <w:gridSpan w:val="4"/>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left"/>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污染面积（</w:t>
            </w:r>
            <w:r>
              <w:rPr>
                <w:rFonts w:ascii="Times New Roman" w:hAnsi="Times New Roman" w:cs="Times New Roman"/>
                <w:color w:val="000000" w:themeColor="text1"/>
                <w:kern w:val="0"/>
                <w:szCs w:val="21"/>
                <w14:textFill>
                  <w14:solidFill>
                    <w14:schemeClr w14:val="tx1"/>
                  </w14:solidFill>
                </w14:textFill>
              </w:rPr>
              <w:t>m</w:t>
            </w:r>
            <w:r>
              <w:rPr>
                <w:rFonts w:ascii="Times New Roman" w:hAnsi="Times New Roman" w:cs="Times New Roman"/>
                <w:color w:val="000000" w:themeColor="text1"/>
                <w:kern w:val="0"/>
                <w:szCs w:val="21"/>
                <w:vertAlign w:val="superscript"/>
                <w14:textFill>
                  <w14:solidFill>
                    <w14:schemeClr w14:val="tx1"/>
                  </w14:solidFill>
                </w14:textFill>
              </w:rPr>
              <w:t>2</w:t>
            </w:r>
            <w:r>
              <w:rPr>
                <w:rFonts w:ascii="仿宋_GB2312" w:eastAsia="仿宋_GB2312" w:cs="仿宋_GB2312"/>
                <w:color w:val="000000" w:themeColor="text1"/>
                <w:kern w:val="0"/>
                <w:szCs w:val="21"/>
                <w14:textFill>
                  <w14:solidFill>
                    <w14:schemeClr w14:val="tx1"/>
                  </w14:solidFill>
                </w14:textFill>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6" w:hRule="atLeast"/>
          <w:jc w:val="center"/>
        </w:trPr>
        <w:tc>
          <w:tcPr>
            <w:tcW w:w="439"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序号</w:t>
            </w:r>
          </w:p>
        </w:tc>
        <w:tc>
          <w:tcPr>
            <w:tcW w:w="921"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事故源核素名称</w:t>
            </w:r>
          </w:p>
        </w:tc>
        <w:tc>
          <w:tcPr>
            <w:tcW w:w="1053"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出厂活度（</w:t>
            </w:r>
            <w:r>
              <w:rPr>
                <w:rFonts w:ascii="Times New Roman" w:hAnsi="Times New Roman" w:cs="Times New Roman"/>
                <w:color w:val="000000" w:themeColor="text1"/>
                <w:kern w:val="0"/>
                <w:szCs w:val="21"/>
                <w14:textFill>
                  <w14:solidFill>
                    <w14:schemeClr w14:val="tx1"/>
                  </w14:solidFill>
                </w14:textFill>
              </w:rPr>
              <w:t>Bq</w:t>
            </w:r>
            <w:r>
              <w:rPr>
                <w:rFonts w:ascii="仿宋_GB2312" w:eastAsia="仿宋_GB2312" w:cs="仿宋_GB2312"/>
                <w:color w:val="000000" w:themeColor="text1"/>
                <w:kern w:val="0"/>
                <w:szCs w:val="21"/>
                <w14:textFill>
                  <w14:solidFill>
                    <w14:schemeClr w14:val="tx1"/>
                  </w14:solidFill>
                </w14:textFill>
              </w:rPr>
              <w:t>）</w:t>
            </w:r>
          </w:p>
        </w:tc>
        <w:tc>
          <w:tcPr>
            <w:tcW w:w="1158"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出厂日期</w:t>
            </w:r>
          </w:p>
        </w:tc>
        <w:tc>
          <w:tcPr>
            <w:tcW w:w="2378"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放射源编码</w:t>
            </w:r>
          </w:p>
        </w:tc>
        <w:tc>
          <w:tcPr>
            <w:tcW w:w="1015" w:type="dxa"/>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事故时活度（</w:t>
            </w:r>
            <w:r>
              <w:rPr>
                <w:rFonts w:ascii="Times New Roman" w:hAnsi="Times New Roman" w:cs="Times New Roman"/>
                <w:color w:val="000000" w:themeColor="text1"/>
                <w:kern w:val="0"/>
                <w:szCs w:val="21"/>
                <w14:textFill>
                  <w14:solidFill>
                    <w14:schemeClr w14:val="tx1"/>
                  </w14:solidFill>
                </w14:textFill>
              </w:rPr>
              <w:t>Bq</w:t>
            </w:r>
            <w:r>
              <w:rPr>
                <w:rFonts w:ascii="仿宋_GB2312" w:eastAsia="仿宋_GB2312" w:cs="仿宋_GB2312"/>
                <w:color w:val="000000" w:themeColor="text1"/>
                <w:kern w:val="0"/>
                <w:szCs w:val="21"/>
                <w14:textFill>
                  <w14:solidFill>
                    <w14:schemeClr w14:val="tx1"/>
                  </w14:solidFill>
                </w14:textFill>
              </w:rPr>
              <w:t>）</w:t>
            </w:r>
          </w:p>
        </w:tc>
        <w:tc>
          <w:tcPr>
            <w:tcW w:w="2126" w:type="dxa"/>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ind w:left="16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非密封放射性物质</w:t>
            </w:r>
          </w:p>
          <w:p>
            <w:pPr>
              <w:widowControl/>
              <w:wordWrap w:val="0"/>
              <w:ind w:left="16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状态（固</w:t>
            </w:r>
            <w:r>
              <w:rPr>
                <w:rFonts w:ascii="Times New Roman" w:hAnsi="Times New Roman" w:cs="Times New Roman"/>
                <w:color w:val="000000" w:themeColor="text1"/>
                <w:kern w:val="0"/>
                <w:szCs w:val="21"/>
                <w14:textFill>
                  <w14:solidFill>
                    <w14:schemeClr w14:val="tx1"/>
                  </w14:solidFill>
                </w14:textFill>
              </w:rPr>
              <w:t>/</w:t>
            </w:r>
            <w:r>
              <w:rPr>
                <w:rFonts w:ascii="仿宋_GB2312" w:eastAsia="仿宋_GB2312" w:cs="仿宋_GB2312"/>
                <w:color w:val="000000" w:themeColor="text1"/>
                <w:kern w:val="0"/>
                <w:szCs w:val="21"/>
                <w14:textFill>
                  <w14:solidFill>
                    <w14:schemeClr w14:val="tx1"/>
                  </w14:solidFill>
                </w14:textFill>
              </w:rPr>
              <w:t>液态）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1" w:hRule="atLeast"/>
          <w:jc w:val="center"/>
        </w:trPr>
        <w:tc>
          <w:tcPr>
            <w:tcW w:w="439"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921"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053"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158" w:type="dxa"/>
            <w:gridSpan w:val="2"/>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2378" w:type="dxa"/>
            <w:gridSpan w:val="4"/>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015"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2126"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3" w:hRule="atLeast"/>
          <w:jc w:val="center"/>
        </w:trPr>
        <w:tc>
          <w:tcPr>
            <w:tcW w:w="439" w:type="dxa"/>
            <w:tcBorders>
              <w:top w:val="nil"/>
              <w:left w:val="single" w:color="auto" w:sz="8" w:space="0"/>
              <w:bottom w:val="single" w:color="auto" w:sz="8" w:space="0"/>
              <w:right w:val="single" w:color="auto" w:sz="8" w:space="0"/>
            </w:tcBorders>
            <w:shd w:val="clear" w:color="auto" w:fill="auto"/>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921"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053"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158" w:type="dxa"/>
            <w:gridSpan w:val="2"/>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2378" w:type="dxa"/>
            <w:gridSpan w:val="4"/>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015"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2126"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2" w:hRule="atLeast"/>
          <w:jc w:val="center"/>
        </w:trPr>
        <w:tc>
          <w:tcPr>
            <w:tcW w:w="439"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序号</w:t>
            </w:r>
          </w:p>
        </w:tc>
        <w:tc>
          <w:tcPr>
            <w:tcW w:w="921"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射线装置名称</w:t>
            </w:r>
          </w:p>
        </w:tc>
        <w:tc>
          <w:tcPr>
            <w:tcW w:w="1053"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型号</w:t>
            </w:r>
          </w:p>
        </w:tc>
        <w:tc>
          <w:tcPr>
            <w:tcW w:w="1158" w:type="dxa"/>
            <w:gridSpan w:val="2"/>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生产厂家</w:t>
            </w:r>
          </w:p>
        </w:tc>
        <w:tc>
          <w:tcPr>
            <w:tcW w:w="2378" w:type="dxa"/>
            <w:gridSpan w:val="4"/>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设备编号</w:t>
            </w:r>
          </w:p>
        </w:tc>
        <w:tc>
          <w:tcPr>
            <w:tcW w:w="1015"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所在场所</w:t>
            </w:r>
          </w:p>
        </w:tc>
        <w:tc>
          <w:tcPr>
            <w:tcW w:w="2126"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主要参数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9" w:hRule="atLeast"/>
          <w:jc w:val="center"/>
        </w:trPr>
        <w:tc>
          <w:tcPr>
            <w:tcW w:w="439"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921"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053"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158" w:type="dxa"/>
            <w:gridSpan w:val="2"/>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2378" w:type="dxa"/>
            <w:gridSpan w:val="4"/>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015"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2126"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439"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921"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053"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158" w:type="dxa"/>
            <w:gridSpan w:val="2"/>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2378" w:type="dxa"/>
            <w:gridSpan w:val="4"/>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015"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2126"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80" w:hRule="atLeast"/>
          <w:jc w:val="center"/>
        </w:trPr>
        <w:tc>
          <w:tcPr>
            <w:tcW w:w="1360" w:type="dxa"/>
            <w:gridSpan w:val="2"/>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事故经过情况</w:t>
            </w:r>
          </w:p>
        </w:tc>
        <w:tc>
          <w:tcPr>
            <w:tcW w:w="7730" w:type="dxa"/>
            <w:gridSpan w:val="9"/>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14" w:hRule="atLeast"/>
          <w:jc w:val="center"/>
        </w:trPr>
        <w:tc>
          <w:tcPr>
            <w:tcW w:w="1360" w:type="dxa"/>
            <w:gridSpan w:val="2"/>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相关部门事故处理情况</w:t>
            </w:r>
          </w:p>
        </w:tc>
        <w:tc>
          <w:tcPr>
            <w:tcW w:w="7730" w:type="dxa"/>
            <w:gridSpan w:val="9"/>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360" w:type="dxa"/>
            <w:gridSpan w:val="2"/>
            <w:vMerge w:val="restart"/>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辐射事故</w:t>
            </w:r>
          </w:p>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应急部门</w:t>
            </w:r>
          </w:p>
        </w:tc>
        <w:tc>
          <w:tcPr>
            <w:tcW w:w="1053"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联系人</w:t>
            </w:r>
          </w:p>
        </w:tc>
        <w:tc>
          <w:tcPr>
            <w:tcW w:w="4551" w:type="dxa"/>
            <w:gridSpan w:val="7"/>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2126"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right"/>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（公章）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1360" w:type="dxa"/>
            <w:gridSpan w:val="2"/>
            <w:vMerge w:val="continue"/>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rPr>
                <w:rFonts w:ascii="宋体"/>
                <w:color w:val="000000" w:themeColor="text1"/>
                <w:sz w:val="24"/>
                <w14:textFill>
                  <w14:solidFill>
                    <w14:schemeClr w14:val="tx1"/>
                  </w14:solidFill>
                </w14:textFill>
              </w:rPr>
            </w:pPr>
          </w:p>
        </w:tc>
        <w:tc>
          <w:tcPr>
            <w:tcW w:w="1053"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电话</w:t>
            </w:r>
          </w:p>
        </w:tc>
        <w:tc>
          <w:tcPr>
            <w:tcW w:w="4551" w:type="dxa"/>
            <w:gridSpan w:val="7"/>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212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rPr>
                <w:rFonts w:ascii="宋体"/>
                <w:color w:val="000000" w:themeColor="text1"/>
                <w:sz w:val="24"/>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1360" w:type="dxa"/>
            <w:gridSpan w:val="2"/>
            <w:vMerge w:val="continue"/>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rPr>
                <w:rFonts w:ascii="宋体"/>
                <w:color w:val="000000" w:themeColor="text1"/>
                <w:sz w:val="24"/>
                <w14:textFill>
                  <w14:solidFill>
                    <w14:schemeClr w14:val="tx1"/>
                  </w14:solidFill>
                </w14:textFill>
              </w:rPr>
            </w:pPr>
          </w:p>
        </w:tc>
        <w:tc>
          <w:tcPr>
            <w:tcW w:w="1053" w:type="dxa"/>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传真</w:t>
            </w:r>
          </w:p>
        </w:tc>
        <w:tc>
          <w:tcPr>
            <w:tcW w:w="4551" w:type="dxa"/>
            <w:gridSpan w:val="7"/>
            <w:tcBorders>
              <w:top w:val="nil"/>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2126"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 w:type="dxa"/>
              <w:bottom w:w="0" w:type="dxa"/>
              <w:right w:w="10" w:type="dxa"/>
            </w:tcMar>
            <w:vAlign w:val="center"/>
          </w:tcPr>
          <w:p>
            <w:pPr>
              <w:rPr>
                <w:rFonts w:ascii="宋体"/>
                <w:color w:val="000000" w:themeColor="text1"/>
                <w:sz w:val="24"/>
                <w14:textFill>
                  <w14:solidFill>
                    <w14:schemeClr w14:val="tx1"/>
                  </w14:solidFill>
                </w14:textFill>
              </w:rPr>
            </w:pPr>
          </w:p>
        </w:tc>
      </w:tr>
    </w:tbl>
    <w:p>
      <w:pPr>
        <w:widowControl/>
        <w:spacing w:line="248" w:lineRule="atLeast"/>
        <w:ind w:firstLine="440"/>
        <w:jc w:val="left"/>
        <w:rPr>
          <w:color w:val="000000" w:themeColor="text1"/>
          <w14:textFill>
            <w14:solidFill>
              <w14:schemeClr w14:val="tx1"/>
            </w14:solidFill>
          </w14:textFill>
        </w:rPr>
      </w:pPr>
      <w:r>
        <w:rPr>
          <w:rFonts w:ascii="仿宋_GB2312" w:hAnsi="微软雅黑" w:eastAsia="仿宋_GB2312" w:cs="仿宋_GB2312"/>
          <w:color w:val="000000" w:themeColor="text1"/>
          <w:kern w:val="0"/>
          <w:sz w:val="22"/>
          <w:szCs w:val="22"/>
          <w:shd w:val="clear" w:color="auto" w:fill="FFFFFF"/>
          <w14:textFill>
            <w14:solidFill>
              <w14:schemeClr w14:val="tx1"/>
            </w14:solidFill>
          </w14:textFill>
        </w:rPr>
        <w:t>注：射线装置的</w:t>
      </w:r>
      <w:r>
        <w:rPr>
          <w:rFonts w:ascii="Times New Roman" w:hAnsi="Times New Roman" w:eastAsia="微软雅黑" w:cs="Times New Roman"/>
          <w:color w:val="000000" w:themeColor="text1"/>
          <w:kern w:val="0"/>
          <w:sz w:val="22"/>
          <w:szCs w:val="22"/>
          <w:shd w:val="clear" w:color="auto" w:fill="FFFFFF"/>
          <w14:textFill>
            <w14:solidFill>
              <w14:schemeClr w14:val="tx1"/>
            </w14:solidFill>
          </w14:textFill>
        </w:rPr>
        <w:t>“</w:t>
      </w:r>
      <w:r>
        <w:rPr>
          <w:rFonts w:ascii="仿宋_GB2312" w:hAnsi="微软雅黑" w:eastAsia="仿宋_GB2312" w:cs="仿宋_GB2312"/>
          <w:color w:val="000000" w:themeColor="text1"/>
          <w:kern w:val="0"/>
          <w:sz w:val="22"/>
          <w:szCs w:val="22"/>
          <w:shd w:val="clear" w:color="auto" w:fill="FFFFFF"/>
          <w14:textFill>
            <w14:solidFill>
              <w14:schemeClr w14:val="tx1"/>
            </w14:solidFill>
          </w14:textFill>
        </w:rPr>
        <w:t>主要参数</w:t>
      </w:r>
      <w:r>
        <w:rPr>
          <w:rFonts w:ascii="Times New Roman" w:hAnsi="Times New Roman" w:eastAsia="微软雅黑" w:cs="Times New Roman"/>
          <w:color w:val="000000" w:themeColor="text1"/>
          <w:kern w:val="0"/>
          <w:sz w:val="22"/>
          <w:szCs w:val="22"/>
          <w:shd w:val="clear" w:color="auto" w:fill="FFFFFF"/>
          <w14:textFill>
            <w14:solidFill>
              <w14:schemeClr w14:val="tx1"/>
            </w14:solidFill>
          </w14:textFill>
        </w:rPr>
        <w:t>”</w:t>
      </w:r>
      <w:r>
        <w:rPr>
          <w:rFonts w:ascii="仿宋_GB2312" w:hAnsi="微软雅黑" w:eastAsia="仿宋_GB2312" w:cs="仿宋_GB2312"/>
          <w:color w:val="000000" w:themeColor="text1"/>
          <w:kern w:val="0"/>
          <w:sz w:val="22"/>
          <w:szCs w:val="22"/>
          <w:shd w:val="clear" w:color="auto" w:fill="FFFFFF"/>
          <w14:textFill>
            <w14:solidFill>
              <w14:schemeClr w14:val="tx1"/>
            </w14:solidFill>
          </w14:textFill>
        </w:rPr>
        <w:t>是指</w:t>
      </w:r>
      <w:r>
        <w:rPr>
          <w:rFonts w:ascii="Times New Roman" w:hAnsi="Times New Roman" w:eastAsia="微软雅黑" w:cs="Times New Roman"/>
          <w:color w:val="000000" w:themeColor="text1"/>
          <w:kern w:val="0"/>
          <w:sz w:val="22"/>
          <w:szCs w:val="22"/>
          <w:shd w:val="clear" w:color="auto" w:fill="FFFFFF"/>
          <w14:textFill>
            <w14:solidFill>
              <w14:schemeClr w14:val="tx1"/>
            </w14:solidFill>
          </w14:textFill>
        </w:rPr>
        <w:t>X</w:t>
      </w:r>
      <w:r>
        <w:rPr>
          <w:rFonts w:ascii="仿宋_GB2312" w:hAnsi="微软雅黑" w:eastAsia="仿宋_GB2312" w:cs="仿宋_GB2312"/>
          <w:color w:val="000000" w:themeColor="text1"/>
          <w:kern w:val="0"/>
          <w:sz w:val="22"/>
          <w:szCs w:val="22"/>
          <w:shd w:val="clear" w:color="auto" w:fill="FFFFFF"/>
          <w14:textFill>
            <w14:solidFill>
              <w14:schemeClr w14:val="tx1"/>
            </w14:solidFill>
          </w14:textFill>
        </w:rPr>
        <w:t>射线机的电流（</w:t>
      </w:r>
      <w:r>
        <w:rPr>
          <w:rFonts w:ascii="Times New Roman" w:hAnsi="Times New Roman" w:eastAsia="微软雅黑" w:cs="Times New Roman"/>
          <w:color w:val="000000" w:themeColor="text1"/>
          <w:kern w:val="0"/>
          <w:sz w:val="22"/>
          <w:szCs w:val="22"/>
          <w:shd w:val="clear" w:color="auto" w:fill="FFFFFF"/>
          <w14:textFill>
            <w14:solidFill>
              <w14:schemeClr w14:val="tx1"/>
            </w14:solidFill>
          </w14:textFill>
        </w:rPr>
        <w:t>mA</w:t>
      </w:r>
      <w:r>
        <w:rPr>
          <w:rFonts w:ascii="仿宋_GB2312" w:hAnsi="微软雅黑" w:eastAsia="仿宋_GB2312" w:cs="仿宋_GB2312"/>
          <w:color w:val="000000" w:themeColor="text1"/>
          <w:kern w:val="0"/>
          <w:sz w:val="22"/>
          <w:szCs w:val="22"/>
          <w:shd w:val="clear" w:color="auto" w:fill="FFFFFF"/>
          <w14:textFill>
            <w14:solidFill>
              <w14:schemeClr w14:val="tx1"/>
            </w14:solidFill>
          </w14:textFill>
        </w:rPr>
        <w:t>）和电压（</w:t>
      </w:r>
      <w:r>
        <w:rPr>
          <w:rFonts w:ascii="Times New Roman" w:hAnsi="Times New Roman" w:eastAsia="微软雅黑" w:cs="Times New Roman"/>
          <w:color w:val="000000" w:themeColor="text1"/>
          <w:kern w:val="0"/>
          <w:sz w:val="22"/>
          <w:szCs w:val="22"/>
          <w:shd w:val="clear" w:color="auto" w:fill="FFFFFF"/>
          <w14:textFill>
            <w14:solidFill>
              <w14:schemeClr w14:val="tx1"/>
            </w14:solidFill>
          </w14:textFill>
        </w:rPr>
        <w:t>kV</w:t>
      </w:r>
      <w:r>
        <w:rPr>
          <w:rFonts w:ascii="仿宋_GB2312" w:hAnsi="微软雅黑" w:eastAsia="仿宋_GB2312" w:cs="仿宋_GB2312"/>
          <w:color w:val="000000" w:themeColor="text1"/>
          <w:kern w:val="0"/>
          <w:sz w:val="22"/>
          <w:szCs w:val="22"/>
          <w:shd w:val="clear" w:color="auto" w:fill="FFFFFF"/>
          <w14:textFill>
            <w14:solidFill>
              <w14:schemeClr w14:val="tx1"/>
            </w14:solidFill>
          </w14:textFill>
        </w:rPr>
        <w:t>）、加速器线束能量等主要性能参数。</w:t>
      </w:r>
    </w:p>
    <w:p>
      <w:pPr>
        <w:widowControl/>
        <w:jc w:val="left"/>
        <w:rPr>
          <w:color w:val="000000" w:themeColor="text1"/>
          <w14:textFill>
            <w14:solidFill>
              <w14:schemeClr w14:val="tx1"/>
            </w14:solidFill>
          </w14:textFill>
        </w:rPr>
      </w:pPr>
    </w:p>
    <w:p>
      <w:pPr>
        <w:widowControl/>
        <w:jc w:val="center"/>
        <w:rPr>
          <w:rFonts w:ascii="Times New Roman" w:hAnsi="Times New Roman" w:eastAsia="微软雅黑" w:cs="Times New Roman"/>
          <w:b/>
          <w:bCs/>
          <w:color w:val="000000" w:themeColor="text1"/>
          <w:kern w:val="0"/>
          <w:sz w:val="30"/>
          <w:szCs w:val="30"/>
          <w:u w:val="single"/>
          <w:shd w:val="clear" w:color="auto" w:fill="FFFFFF"/>
          <w14:textFill>
            <w14:solidFill>
              <w14:schemeClr w14:val="tx1"/>
            </w14:solidFill>
          </w14:textFill>
        </w:rPr>
      </w:pPr>
    </w:p>
    <w:p>
      <w:pPr>
        <w:widowControl/>
        <w:jc w:val="center"/>
        <w:rPr>
          <w:rFonts w:ascii="Times New Roman" w:hAnsi="Times New Roman" w:eastAsia="微软雅黑" w:cs="Times New Roman"/>
          <w:b/>
          <w:bCs/>
          <w:color w:val="000000" w:themeColor="text1"/>
          <w:kern w:val="0"/>
          <w:sz w:val="30"/>
          <w:szCs w:val="30"/>
          <w:u w:val="single"/>
          <w:shd w:val="clear" w:color="auto" w:fill="FFFFFF"/>
          <w14:textFill>
            <w14:solidFill>
              <w14:schemeClr w14:val="tx1"/>
            </w14:solidFill>
          </w14:textFill>
        </w:rPr>
      </w:pPr>
    </w:p>
    <w:p>
      <w:pPr>
        <w:widowControl/>
        <w:jc w:val="center"/>
        <w:rPr>
          <w:rFonts w:ascii="Times New Roman" w:hAnsi="Times New Roman" w:eastAsia="微软雅黑" w:cs="Times New Roman"/>
          <w:b/>
          <w:bCs/>
          <w:color w:val="000000" w:themeColor="text1"/>
          <w:kern w:val="0"/>
          <w:sz w:val="30"/>
          <w:szCs w:val="30"/>
          <w:u w:val="single"/>
          <w:shd w:val="clear" w:color="auto" w:fill="FFFFFF"/>
          <w14:textFill>
            <w14:solidFill>
              <w14:schemeClr w14:val="tx1"/>
            </w14:solidFill>
          </w14:textFill>
        </w:rPr>
      </w:pPr>
    </w:p>
    <w:p>
      <w:pPr>
        <w:widowControl/>
        <w:jc w:val="center"/>
        <w:rPr>
          <w:rFonts w:ascii="Times New Roman" w:hAnsi="Times New Roman" w:eastAsia="微软雅黑" w:cs="Times New Roman"/>
          <w:b/>
          <w:bCs/>
          <w:color w:val="000000" w:themeColor="text1"/>
          <w:kern w:val="0"/>
          <w:sz w:val="30"/>
          <w:szCs w:val="30"/>
          <w:u w:val="single"/>
          <w:shd w:val="clear" w:color="auto" w:fill="FFFFFF"/>
          <w14:textFill>
            <w14:solidFill>
              <w14:schemeClr w14:val="tx1"/>
            </w14:solidFill>
          </w14:textFill>
        </w:rPr>
      </w:pPr>
    </w:p>
    <w:p>
      <w:pPr>
        <w:widowControl/>
        <w:jc w:val="center"/>
        <w:rPr>
          <w:color w:val="000000" w:themeColor="text1"/>
          <w14:textFill>
            <w14:solidFill>
              <w14:schemeClr w14:val="tx1"/>
            </w14:solidFill>
          </w14:textFill>
        </w:rPr>
      </w:pPr>
      <w:bookmarkStart w:id="221" w:name="_Toc1646116558_WPSOffice_Level1"/>
      <w:bookmarkStart w:id="222" w:name="_Toc2046987702_WPSOffice_Level1"/>
      <w:r>
        <w:rPr>
          <w:rFonts w:ascii="Times New Roman" w:hAnsi="Times New Roman" w:eastAsia="微软雅黑" w:cs="Times New Roman"/>
          <w:b/>
          <w:bCs/>
          <w:color w:val="000000" w:themeColor="text1"/>
          <w:kern w:val="0"/>
          <w:sz w:val="30"/>
          <w:szCs w:val="30"/>
          <w:u w:val="single"/>
          <w:shd w:val="clear" w:color="auto" w:fill="FFFFFF"/>
          <w14:textFill>
            <w14:solidFill>
              <w14:schemeClr w14:val="tx1"/>
            </w14:solidFill>
          </w14:textFill>
        </w:rPr>
        <w:t>             </w:t>
      </w:r>
      <w:r>
        <w:rPr>
          <w:rFonts w:ascii="仿宋_GB2312" w:hAnsi="微软雅黑" w:eastAsia="仿宋_GB2312" w:cs="仿宋_GB2312"/>
          <w:b/>
          <w:bCs/>
          <w:color w:val="000000" w:themeColor="text1"/>
          <w:kern w:val="0"/>
          <w:sz w:val="30"/>
          <w:szCs w:val="30"/>
          <w:shd w:val="clear" w:color="auto" w:fill="FFFFFF"/>
          <w14:textFill>
            <w14:solidFill>
              <w14:schemeClr w14:val="tx1"/>
            </w14:solidFill>
          </w14:textFill>
        </w:rPr>
        <w:t>辐射事故处理结果报告表</w:t>
      </w:r>
      <w:bookmarkEnd w:id="221"/>
      <w:bookmarkEnd w:id="222"/>
    </w:p>
    <w:tbl>
      <w:tblPr>
        <w:tblStyle w:val="8"/>
        <w:tblW w:w="1288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82"/>
        <w:gridCol w:w="1659"/>
        <w:gridCol w:w="193"/>
        <w:gridCol w:w="522"/>
        <w:gridCol w:w="738"/>
        <w:gridCol w:w="305"/>
        <w:gridCol w:w="88"/>
        <w:gridCol w:w="1218"/>
        <w:gridCol w:w="878"/>
        <w:gridCol w:w="1624"/>
        <w:gridCol w:w="703"/>
        <w:gridCol w:w="928"/>
        <w:gridCol w:w="414"/>
        <w:gridCol w:w="147"/>
        <w:gridCol w:w="1526"/>
        <w:gridCol w:w="13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724"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事故单位</w:t>
            </w:r>
          </w:p>
        </w:tc>
        <w:tc>
          <w:tcPr>
            <w:tcW w:w="1171"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名称</w:t>
            </w:r>
          </w:p>
        </w:tc>
        <w:tc>
          <w:tcPr>
            <w:tcW w:w="6231" w:type="dxa"/>
            <w:gridSpan w:val="9"/>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724"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rPr>
                <w:rFonts w:ascii="宋体"/>
                <w:color w:val="000000" w:themeColor="text1"/>
                <w:sz w:val="24"/>
                <w14:textFill>
                  <w14:solidFill>
                    <w14:schemeClr w14:val="tx1"/>
                  </w14:solidFill>
                </w14:textFill>
              </w:rPr>
            </w:pPr>
          </w:p>
        </w:tc>
        <w:tc>
          <w:tcPr>
            <w:tcW w:w="1171"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地址</w:t>
            </w:r>
          </w:p>
        </w:tc>
        <w:tc>
          <w:tcPr>
            <w:tcW w:w="6231" w:type="dxa"/>
            <w:gridSpan w:val="9"/>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724"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许可证号</w:t>
            </w:r>
          </w:p>
        </w:tc>
        <w:tc>
          <w:tcPr>
            <w:tcW w:w="2656" w:type="dxa"/>
            <w:gridSpan w:val="6"/>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648"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许可证审批机关</w:t>
            </w:r>
          </w:p>
        </w:tc>
        <w:tc>
          <w:tcPr>
            <w:tcW w:w="3098"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724"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事故发生时间</w:t>
            </w:r>
          </w:p>
        </w:tc>
        <w:tc>
          <w:tcPr>
            <w:tcW w:w="2656" w:type="dxa"/>
            <w:gridSpan w:val="6"/>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648"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事故报告时间</w:t>
            </w:r>
          </w:p>
        </w:tc>
        <w:tc>
          <w:tcPr>
            <w:tcW w:w="3098"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724"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事故发生地点</w:t>
            </w:r>
          </w:p>
        </w:tc>
        <w:tc>
          <w:tcPr>
            <w:tcW w:w="7402" w:type="dxa"/>
            <w:gridSpan w:val="13"/>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724"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事故类型</w:t>
            </w:r>
          </w:p>
        </w:tc>
        <w:tc>
          <w:tcPr>
            <w:tcW w:w="2656" w:type="dxa"/>
            <w:gridSpan w:val="6"/>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人员受照人员污染</w:t>
            </w:r>
          </w:p>
        </w:tc>
        <w:tc>
          <w:tcPr>
            <w:tcW w:w="1150"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受照人数</w:t>
            </w:r>
          </w:p>
        </w:tc>
        <w:tc>
          <w:tcPr>
            <w:tcW w:w="1155"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478"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ind w:left="234"/>
              <w:jc w:val="left"/>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受污染人数</w:t>
            </w:r>
          </w:p>
        </w:tc>
        <w:tc>
          <w:tcPr>
            <w:tcW w:w="963"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left"/>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724"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rPr>
                <w:rFonts w:ascii="宋体"/>
                <w:color w:val="000000" w:themeColor="text1"/>
                <w:sz w:val="24"/>
                <w14:textFill>
                  <w14:solidFill>
                    <w14:schemeClr w14:val="tx1"/>
                  </w14:solidFill>
                </w14:textFill>
              </w:rPr>
            </w:pPr>
          </w:p>
        </w:tc>
        <w:tc>
          <w:tcPr>
            <w:tcW w:w="2656" w:type="dxa"/>
            <w:gridSpan w:val="6"/>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丢失被盗失控</w:t>
            </w:r>
          </w:p>
        </w:tc>
        <w:tc>
          <w:tcPr>
            <w:tcW w:w="1648"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事故源数量</w:t>
            </w:r>
          </w:p>
        </w:tc>
        <w:tc>
          <w:tcPr>
            <w:tcW w:w="3098"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left"/>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724"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rPr>
                <w:rFonts w:ascii="宋体"/>
                <w:color w:val="000000" w:themeColor="text1"/>
                <w:sz w:val="24"/>
                <w14:textFill>
                  <w14:solidFill>
                    <w14:schemeClr w14:val="tx1"/>
                  </w14:solidFill>
                </w14:textFill>
              </w:rPr>
            </w:pPr>
          </w:p>
        </w:tc>
        <w:tc>
          <w:tcPr>
            <w:tcW w:w="2656" w:type="dxa"/>
            <w:gridSpan w:val="6"/>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放射性污染</w:t>
            </w:r>
          </w:p>
        </w:tc>
        <w:tc>
          <w:tcPr>
            <w:tcW w:w="1648"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污染面积（</w:t>
            </w:r>
            <w:r>
              <w:rPr>
                <w:rFonts w:ascii="Times New Roman" w:hAnsi="Times New Roman" w:cs="Times New Roman"/>
                <w:color w:val="000000" w:themeColor="text1"/>
                <w:kern w:val="0"/>
                <w:szCs w:val="21"/>
                <w14:textFill>
                  <w14:solidFill>
                    <w14:schemeClr w14:val="tx1"/>
                  </w14:solidFill>
                </w14:textFill>
              </w:rPr>
              <w:t>m</w:t>
            </w:r>
            <w:r>
              <w:rPr>
                <w:rFonts w:ascii="Times New Roman" w:hAnsi="Times New Roman" w:cs="Times New Roman"/>
                <w:color w:val="000000" w:themeColor="text1"/>
                <w:kern w:val="0"/>
                <w:szCs w:val="21"/>
                <w:vertAlign w:val="superscript"/>
                <w14:textFill>
                  <w14:solidFill>
                    <w14:schemeClr w14:val="tx1"/>
                  </w14:solidFill>
                </w14:textFill>
              </w:rPr>
              <w:t>2</w:t>
            </w:r>
            <w:r>
              <w:rPr>
                <w:rFonts w:ascii="仿宋_GB2312" w:eastAsia="仿宋_GB2312" w:cs="仿宋_GB2312"/>
                <w:color w:val="000000" w:themeColor="text1"/>
                <w:kern w:val="0"/>
                <w:szCs w:val="21"/>
                <w14:textFill>
                  <w14:solidFill>
                    <w14:schemeClr w14:val="tx1"/>
                  </w14:solidFill>
                </w14:textFill>
              </w:rPr>
              <w:t>）</w:t>
            </w:r>
          </w:p>
        </w:tc>
        <w:tc>
          <w:tcPr>
            <w:tcW w:w="3098"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left"/>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412"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序号</w:t>
            </w:r>
          </w:p>
        </w:tc>
        <w:tc>
          <w:tcPr>
            <w:tcW w:w="1175"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事故源核</w:t>
            </w:r>
          </w:p>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素名称</w:t>
            </w:r>
          </w:p>
        </w:tc>
        <w:tc>
          <w:tcPr>
            <w:tcW w:w="1246"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出厂</w:t>
            </w:r>
          </w:p>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活度（</w:t>
            </w:r>
            <w:r>
              <w:rPr>
                <w:rFonts w:ascii="Times New Roman" w:hAnsi="Times New Roman" w:cs="Times New Roman"/>
                <w:color w:val="000000" w:themeColor="text1"/>
                <w:kern w:val="0"/>
                <w:szCs w:val="21"/>
                <w14:textFill>
                  <w14:solidFill>
                    <w14:schemeClr w14:val="tx1"/>
                  </w14:solidFill>
                </w14:textFill>
              </w:rPr>
              <w:t>Bq</w:t>
            </w:r>
            <w:r>
              <w:rPr>
                <w:rFonts w:ascii="仿宋_GB2312" w:eastAsia="仿宋_GB2312" w:cs="仿宋_GB2312"/>
                <w:color w:val="000000" w:themeColor="text1"/>
                <w:kern w:val="0"/>
                <w:szCs w:val="21"/>
                <w14:textFill>
                  <w14:solidFill>
                    <w14:schemeClr w14:val="tx1"/>
                  </w14:solidFill>
                </w14:textFill>
              </w:rPr>
              <w:t>）</w:t>
            </w:r>
          </w:p>
        </w:tc>
        <w:tc>
          <w:tcPr>
            <w:tcW w:w="925"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出厂日期</w:t>
            </w:r>
          </w:p>
        </w:tc>
        <w:tc>
          <w:tcPr>
            <w:tcW w:w="2270"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放射源编码</w:t>
            </w:r>
          </w:p>
        </w:tc>
        <w:tc>
          <w:tcPr>
            <w:tcW w:w="1054"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事故时活度（</w:t>
            </w:r>
            <w:r>
              <w:rPr>
                <w:rFonts w:ascii="Times New Roman" w:hAnsi="Times New Roman" w:cs="Times New Roman"/>
                <w:color w:val="000000" w:themeColor="text1"/>
                <w:kern w:val="0"/>
                <w:szCs w:val="21"/>
                <w14:textFill>
                  <w14:solidFill>
                    <w14:schemeClr w14:val="tx1"/>
                  </w14:solidFill>
                </w14:textFill>
              </w:rPr>
              <w:t>Bq</w:t>
            </w:r>
            <w:r>
              <w:rPr>
                <w:rFonts w:ascii="仿宋_GB2312" w:eastAsia="仿宋_GB2312" w:cs="仿宋_GB2312"/>
                <w:color w:val="000000" w:themeColor="text1"/>
                <w:kern w:val="0"/>
                <w:szCs w:val="21"/>
                <w14:textFill>
                  <w14:solidFill>
                    <w14:schemeClr w14:val="tx1"/>
                  </w14:solidFill>
                </w14:textFill>
              </w:rPr>
              <w:t>）</w:t>
            </w:r>
          </w:p>
        </w:tc>
        <w:tc>
          <w:tcPr>
            <w:tcW w:w="2044"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非密封放射性物质</w:t>
            </w:r>
          </w:p>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状态（固</w:t>
            </w:r>
            <w:r>
              <w:rPr>
                <w:rFonts w:ascii="Times New Roman" w:hAnsi="Times New Roman" w:cs="Times New Roman"/>
                <w:color w:val="000000" w:themeColor="text1"/>
                <w:kern w:val="0"/>
                <w:szCs w:val="21"/>
                <w14:textFill>
                  <w14:solidFill>
                    <w14:schemeClr w14:val="tx1"/>
                  </w14:solidFill>
                </w14:textFill>
              </w:rPr>
              <w:t>/</w:t>
            </w:r>
            <w:r>
              <w:rPr>
                <w:rFonts w:ascii="仿宋_GB2312" w:eastAsia="仿宋_GB2312" w:cs="仿宋_GB2312"/>
                <w:color w:val="000000" w:themeColor="text1"/>
                <w:kern w:val="0"/>
                <w:szCs w:val="21"/>
                <w14:textFill>
                  <w14:solidFill>
                    <w14:schemeClr w14:val="tx1"/>
                  </w14:solidFill>
                </w14:textFill>
              </w:rPr>
              <w:t>液态）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412"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175"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246"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925"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2270"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054"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2044"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412"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175"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246"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925"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2270"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054"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2044"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412"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序号</w:t>
            </w:r>
          </w:p>
        </w:tc>
        <w:tc>
          <w:tcPr>
            <w:tcW w:w="1175"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射线装置</w:t>
            </w:r>
          </w:p>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名称</w:t>
            </w:r>
          </w:p>
        </w:tc>
        <w:tc>
          <w:tcPr>
            <w:tcW w:w="1246"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型号</w:t>
            </w:r>
          </w:p>
        </w:tc>
        <w:tc>
          <w:tcPr>
            <w:tcW w:w="925"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生产厂家</w:t>
            </w:r>
          </w:p>
        </w:tc>
        <w:tc>
          <w:tcPr>
            <w:tcW w:w="2270"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设备编号</w:t>
            </w:r>
          </w:p>
        </w:tc>
        <w:tc>
          <w:tcPr>
            <w:tcW w:w="1054"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所在场所</w:t>
            </w:r>
          </w:p>
        </w:tc>
        <w:tc>
          <w:tcPr>
            <w:tcW w:w="2044"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主要参数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412"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175"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246"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925"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2270"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054"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2044"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412"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175"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246"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925"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2270"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1054"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2044"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094"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事故级别</w:t>
            </w:r>
          </w:p>
        </w:tc>
        <w:tc>
          <w:tcPr>
            <w:tcW w:w="7032" w:type="dxa"/>
            <w:gridSpan w:val="12"/>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w:t>
            </w:r>
            <w:r>
              <w:rPr>
                <w:rFonts w:ascii="仿宋_GB2312" w:eastAsia="仿宋_GB2312" w:cs="仿宋_GB2312"/>
                <w:color w:val="000000" w:themeColor="text1"/>
                <w:kern w:val="0"/>
                <w:szCs w:val="21"/>
                <w14:textFill>
                  <w14:solidFill>
                    <w14:schemeClr w14:val="tx1"/>
                  </w14:solidFill>
                </w14:textFill>
              </w:rPr>
              <w:t>一般辐射事故</w:t>
            </w:r>
            <w:r>
              <w:rPr>
                <w:rFonts w:ascii="Times New Roman" w:hAnsi="Times New Roman" w:cs="Times New Roman"/>
                <w:color w:val="000000" w:themeColor="text1"/>
                <w:kern w:val="0"/>
                <w:szCs w:val="21"/>
                <w14:textFill>
                  <w14:solidFill>
                    <w14:schemeClr w14:val="tx1"/>
                  </w14:solidFill>
                </w14:textFill>
              </w:rPr>
              <w:t> □</w:t>
            </w:r>
            <w:r>
              <w:rPr>
                <w:rFonts w:ascii="仿宋_GB2312" w:eastAsia="仿宋_GB2312" w:cs="仿宋_GB2312"/>
                <w:color w:val="000000" w:themeColor="text1"/>
                <w:kern w:val="0"/>
                <w:szCs w:val="21"/>
                <w14:textFill>
                  <w14:solidFill>
                    <w14:schemeClr w14:val="tx1"/>
                  </w14:solidFill>
                </w14:textFill>
              </w:rPr>
              <w:t>较大辐射事故</w:t>
            </w:r>
            <w:r>
              <w:rPr>
                <w:rFonts w:ascii="Times New Roman" w:hAnsi="Times New Roman" w:cs="Times New Roman"/>
                <w:color w:val="000000" w:themeColor="text1"/>
                <w:kern w:val="0"/>
                <w:szCs w:val="21"/>
                <w14:textFill>
                  <w14:solidFill>
                    <w14:schemeClr w14:val="tx1"/>
                  </w14:solidFill>
                </w14:textFill>
              </w:rPr>
              <w:t> □</w:t>
            </w:r>
            <w:r>
              <w:rPr>
                <w:rFonts w:ascii="仿宋_GB2312" w:eastAsia="仿宋_GB2312" w:cs="仿宋_GB2312"/>
                <w:color w:val="000000" w:themeColor="text1"/>
                <w:kern w:val="0"/>
                <w:szCs w:val="21"/>
                <w14:textFill>
                  <w14:solidFill>
                    <w14:schemeClr w14:val="tx1"/>
                  </w14:solidFill>
                </w14:textFill>
              </w:rPr>
              <w:t>重大辐射事故</w:t>
            </w:r>
            <w:r>
              <w:rPr>
                <w:rFonts w:ascii="Times New Roman" w:hAnsi="Times New Roman" w:cs="Times New Roman"/>
                <w:color w:val="000000" w:themeColor="text1"/>
                <w:kern w:val="0"/>
                <w:szCs w:val="21"/>
                <w14:textFill>
                  <w14:solidFill>
                    <w14:schemeClr w14:val="tx1"/>
                  </w14:solidFill>
                </w14:textFill>
              </w:rPr>
              <w:t> </w:t>
            </w:r>
            <w:r>
              <w:rPr>
                <w:rFonts w:ascii="Wingdings 2" w:hAnsi="Wingdings 2" w:eastAsia="Wingdings 2" w:cs="Wingdings 2"/>
                <w:color w:val="000000" w:themeColor="text1"/>
                <w:kern w:val="0"/>
                <w:szCs w:val="21"/>
                <w14:textFill>
                  <w14:solidFill>
                    <w14:schemeClr w14:val="tx1"/>
                  </w14:solidFill>
                </w14:textFill>
              </w:rPr>
              <w:t></w:t>
            </w:r>
            <w:r>
              <w:rPr>
                <w:rFonts w:ascii="仿宋_GB2312" w:eastAsia="仿宋_GB2312" w:cs="仿宋_GB2312"/>
                <w:color w:val="000000" w:themeColor="text1"/>
                <w:kern w:val="0"/>
                <w:szCs w:val="21"/>
                <w14:textFill>
                  <w14:solidFill>
                    <w14:schemeClr w14:val="tx1"/>
                  </w14:solidFill>
                </w14:textFill>
              </w:rPr>
              <w:t>特别重大辐射事故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25" w:hRule="atLeast"/>
          <w:jc w:val="center"/>
        </w:trPr>
        <w:tc>
          <w:tcPr>
            <w:tcW w:w="1724" w:type="dxa"/>
            <w:gridSpan w:val="3"/>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事故经过</w:t>
            </w:r>
          </w:p>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和处理情况</w:t>
            </w:r>
          </w:p>
        </w:tc>
        <w:tc>
          <w:tcPr>
            <w:tcW w:w="7402" w:type="dxa"/>
            <w:gridSpan w:val="13"/>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p>
            <w:pPr>
              <w:widowControl/>
              <w:wordWrap w:val="0"/>
              <w:jc w:val="left"/>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724"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事故发生地市级生态环境局</w:t>
            </w:r>
          </w:p>
        </w:tc>
        <w:tc>
          <w:tcPr>
            <w:tcW w:w="893"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联系人</w:t>
            </w:r>
          </w:p>
        </w:tc>
        <w:tc>
          <w:tcPr>
            <w:tcW w:w="4361" w:type="dxa"/>
            <w:gridSpan w:val="8"/>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2148"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right"/>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（公章）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724"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rPr>
                <w:rFonts w:ascii="宋体"/>
                <w:color w:val="000000" w:themeColor="text1"/>
                <w:sz w:val="24"/>
                <w14:textFill>
                  <w14:solidFill>
                    <w14:schemeClr w14:val="tx1"/>
                  </w14:solidFill>
                </w14:textFill>
              </w:rPr>
            </w:pPr>
          </w:p>
        </w:tc>
        <w:tc>
          <w:tcPr>
            <w:tcW w:w="893"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电话</w:t>
            </w:r>
          </w:p>
        </w:tc>
        <w:tc>
          <w:tcPr>
            <w:tcW w:w="4361" w:type="dxa"/>
            <w:gridSpan w:val="8"/>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214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rPr>
                <w:rFonts w:ascii="宋体"/>
                <w:color w:val="000000" w:themeColor="text1"/>
                <w:sz w:val="24"/>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724"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rPr>
                <w:rFonts w:ascii="宋体"/>
                <w:color w:val="000000" w:themeColor="text1"/>
                <w:sz w:val="24"/>
                <w14:textFill>
                  <w14:solidFill>
                    <w14:schemeClr w14:val="tx1"/>
                  </w14:solidFill>
                </w14:textFill>
              </w:rPr>
            </w:pPr>
          </w:p>
        </w:tc>
        <w:tc>
          <w:tcPr>
            <w:tcW w:w="893"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仿宋_GB2312" w:eastAsia="仿宋_GB2312" w:cs="仿宋_GB2312"/>
                <w:color w:val="000000" w:themeColor="text1"/>
                <w:kern w:val="0"/>
                <w:szCs w:val="21"/>
                <w14:textFill>
                  <w14:solidFill>
                    <w14:schemeClr w14:val="tx1"/>
                  </w14:solidFill>
                </w14:textFill>
              </w:rPr>
              <w:t>传真</w:t>
            </w:r>
          </w:p>
        </w:tc>
        <w:tc>
          <w:tcPr>
            <w:tcW w:w="4361" w:type="dxa"/>
            <w:gridSpan w:val="8"/>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widowControl/>
              <w:wordWrap w:val="0"/>
              <w:jc w:val="center"/>
              <w:rPr>
                <w:color w:val="000000" w:themeColor="text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w:t>
            </w:r>
          </w:p>
        </w:tc>
        <w:tc>
          <w:tcPr>
            <w:tcW w:w="214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pPr>
              <w:rPr>
                <w:rFonts w:ascii="宋体"/>
                <w:color w:val="000000" w:themeColor="text1"/>
                <w:sz w:val="24"/>
                <w14:textFill>
                  <w14:solidFill>
                    <w14:schemeClr w14:val="tx1"/>
                  </w14:solidFill>
                </w14:textFill>
              </w:rPr>
            </w:pPr>
          </w:p>
        </w:tc>
      </w:tr>
    </w:tbl>
    <w:p>
      <w:pPr>
        <w:widowControl/>
        <w:spacing w:line="248" w:lineRule="atLeast"/>
        <w:ind w:firstLine="440"/>
        <w:jc w:val="left"/>
        <w:rPr>
          <w:color w:val="000000" w:themeColor="text1"/>
          <w14:textFill>
            <w14:solidFill>
              <w14:schemeClr w14:val="tx1"/>
            </w14:solidFill>
          </w14:textFill>
        </w:rPr>
      </w:pPr>
      <w:r>
        <w:rPr>
          <w:rFonts w:ascii="仿宋_GB2312" w:hAnsi="微软雅黑" w:eastAsia="仿宋_GB2312" w:cs="仿宋_GB2312"/>
          <w:color w:val="000000" w:themeColor="text1"/>
          <w:kern w:val="0"/>
          <w:sz w:val="22"/>
          <w:szCs w:val="22"/>
          <w:shd w:val="clear" w:color="auto" w:fill="FFFFFF"/>
          <w14:textFill>
            <w14:solidFill>
              <w14:schemeClr w14:val="tx1"/>
            </w14:solidFill>
          </w14:textFill>
        </w:rPr>
        <w:t>注：射线装置的</w:t>
      </w:r>
      <w:r>
        <w:rPr>
          <w:rFonts w:ascii="Times New Roman" w:hAnsi="Times New Roman" w:eastAsia="微软雅黑" w:cs="Times New Roman"/>
          <w:color w:val="000000" w:themeColor="text1"/>
          <w:kern w:val="0"/>
          <w:sz w:val="22"/>
          <w:szCs w:val="22"/>
          <w:shd w:val="clear" w:color="auto" w:fill="FFFFFF"/>
          <w14:textFill>
            <w14:solidFill>
              <w14:schemeClr w14:val="tx1"/>
            </w14:solidFill>
          </w14:textFill>
        </w:rPr>
        <w:t>“</w:t>
      </w:r>
      <w:r>
        <w:rPr>
          <w:rFonts w:ascii="仿宋_GB2312" w:hAnsi="微软雅黑" w:eastAsia="仿宋_GB2312" w:cs="仿宋_GB2312"/>
          <w:color w:val="000000" w:themeColor="text1"/>
          <w:kern w:val="0"/>
          <w:sz w:val="22"/>
          <w:szCs w:val="22"/>
          <w:shd w:val="clear" w:color="auto" w:fill="FFFFFF"/>
          <w14:textFill>
            <w14:solidFill>
              <w14:schemeClr w14:val="tx1"/>
            </w14:solidFill>
          </w14:textFill>
        </w:rPr>
        <w:t>主要参数</w:t>
      </w:r>
      <w:r>
        <w:rPr>
          <w:rFonts w:ascii="Times New Roman" w:hAnsi="Times New Roman" w:eastAsia="微软雅黑" w:cs="Times New Roman"/>
          <w:color w:val="000000" w:themeColor="text1"/>
          <w:kern w:val="0"/>
          <w:sz w:val="22"/>
          <w:szCs w:val="22"/>
          <w:shd w:val="clear" w:color="auto" w:fill="FFFFFF"/>
          <w14:textFill>
            <w14:solidFill>
              <w14:schemeClr w14:val="tx1"/>
            </w14:solidFill>
          </w14:textFill>
        </w:rPr>
        <w:t>”</w:t>
      </w:r>
      <w:r>
        <w:rPr>
          <w:rFonts w:ascii="仿宋_GB2312" w:hAnsi="微软雅黑" w:eastAsia="仿宋_GB2312" w:cs="仿宋_GB2312"/>
          <w:color w:val="000000" w:themeColor="text1"/>
          <w:kern w:val="0"/>
          <w:sz w:val="22"/>
          <w:szCs w:val="22"/>
          <w:shd w:val="clear" w:color="auto" w:fill="FFFFFF"/>
          <w14:textFill>
            <w14:solidFill>
              <w14:schemeClr w14:val="tx1"/>
            </w14:solidFill>
          </w14:textFill>
        </w:rPr>
        <w:t>是指</w:t>
      </w:r>
      <w:r>
        <w:rPr>
          <w:rFonts w:ascii="Times New Roman" w:hAnsi="Times New Roman" w:eastAsia="微软雅黑" w:cs="Times New Roman"/>
          <w:color w:val="000000" w:themeColor="text1"/>
          <w:kern w:val="0"/>
          <w:sz w:val="22"/>
          <w:szCs w:val="22"/>
          <w:shd w:val="clear" w:color="auto" w:fill="FFFFFF"/>
          <w14:textFill>
            <w14:solidFill>
              <w14:schemeClr w14:val="tx1"/>
            </w14:solidFill>
          </w14:textFill>
        </w:rPr>
        <w:t>X</w:t>
      </w:r>
      <w:r>
        <w:rPr>
          <w:rFonts w:ascii="仿宋_GB2312" w:hAnsi="微软雅黑" w:eastAsia="仿宋_GB2312" w:cs="仿宋_GB2312"/>
          <w:color w:val="000000" w:themeColor="text1"/>
          <w:kern w:val="0"/>
          <w:sz w:val="22"/>
          <w:szCs w:val="22"/>
          <w:shd w:val="clear" w:color="auto" w:fill="FFFFFF"/>
          <w14:textFill>
            <w14:solidFill>
              <w14:schemeClr w14:val="tx1"/>
            </w14:solidFill>
          </w14:textFill>
        </w:rPr>
        <w:t>射线机的电流（</w:t>
      </w:r>
      <w:r>
        <w:rPr>
          <w:rFonts w:ascii="Times New Roman" w:hAnsi="Times New Roman" w:eastAsia="微软雅黑" w:cs="Times New Roman"/>
          <w:color w:val="000000" w:themeColor="text1"/>
          <w:kern w:val="0"/>
          <w:sz w:val="22"/>
          <w:szCs w:val="22"/>
          <w:shd w:val="clear" w:color="auto" w:fill="FFFFFF"/>
          <w14:textFill>
            <w14:solidFill>
              <w14:schemeClr w14:val="tx1"/>
            </w14:solidFill>
          </w14:textFill>
        </w:rPr>
        <w:t>mA</w:t>
      </w:r>
      <w:r>
        <w:rPr>
          <w:rFonts w:ascii="仿宋_GB2312" w:hAnsi="微软雅黑" w:eastAsia="仿宋_GB2312" w:cs="仿宋_GB2312"/>
          <w:color w:val="000000" w:themeColor="text1"/>
          <w:kern w:val="0"/>
          <w:sz w:val="22"/>
          <w:szCs w:val="22"/>
          <w:shd w:val="clear" w:color="auto" w:fill="FFFFFF"/>
          <w14:textFill>
            <w14:solidFill>
              <w14:schemeClr w14:val="tx1"/>
            </w14:solidFill>
          </w14:textFill>
        </w:rPr>
        <w:t>）和电压（</w:t>
      </w:r>
      <w:r>
        <w:rPr>
          <w:rFonts w:ascii="Times New Roman" w:hAnsi="Times New Roman" w:eastAsia="微软雅黑" w:cs="Times New Roman"/>
          <w:color w:val="000000" w:themeColor="text1"/>
          <w:kern w:val="0"/>
          <w:sz w:val="22"/>
          <w:szCs w:val="22"/>
          <w:shd w:val="clear" w:color="auto" w:fill="FFFFFF"/>
          <w14:textFill>
            <w14:solidFill>
              <w14:schemeClr w14:val="tx1"/>
            </w14:solidFill>
          </w14:textFill>
        </w:rPr>
        <w:t>kV</w:t>
      </w:r>
      <w:r>
        <w:rPr>
          <w:rFonts w:ascii="仿宋_GB2312" w:hAnsi="微软雅黑" w:eastAsia="仿宋_GB2312" w:cs="仿宋_GB2312"/>
          <w:color w:val="000000" w:themeColor="text1"/>
          <w:kern w:val="0"/>
          <w:sz w:val="22"/>
          <w:szCs w:val="22"/>
          <w:shd w:val="clear" w:color="auto" w:fill="FFFFFF"/>
          <w14:textFill>
            <w14:solidFill>
              <w14:schemeClr w14:val="tx1"/>
            </w14:solidFill>
          </w14:textFill>
        </w:rPr>
        <w:t>）、加速器线束能量等主要性能参数。</w:t>
      </w:r>
    </w:p>
    <w:p>
      <w:pPr>
        <w:widowControl/>
        <w:jc w:val="left"/>
        <w:rPr>
          <w:color w:val="000000" w:themeColor="text1"/>
          <w14:textFill>
            <w14:solidFill>
              <w14:schemeClr w14:val="tx1"/>
            </w14:solidFill>
          </w14:textFill>
        </w:rPr>
      </w:pPr>
    </w:p>
    <w:p>
      <w:pPr>
        <w:rPr>
          <w:color w:val="000000" w:themeColor="text1"/>
          <w14:textFill>
            <w14:solidFill>
              <w14:schemeClr w14:val="tx1"/>
            </w14:solidFill>
          </w14:textFill>
        </w:rPr>
      </w:pPr>
    </w:p>
    <w:bookmarkEnd w:id="223"/>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新魏">
    <w:altName w:val="宋体"/>
    <w:panose1 w:val="02010800040101010101"/>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30</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wZmM2NzRjNzk5ZjUwZDFjYzYyNGVmNGM2ZDA2NjMifQ=="/>
  </w:docVars>
  <w:rsids>
    <w:rsidRoot w:val="5E3C40F7"/>
    <w:rsid w:val="000131AD"/>
    <w:rsid w:val="00084431"/>
    <w:rsid w:val="000D0B95"/>
    <w:rsid w:val="00356C52"/>
    <w:rsid w:val="00356D7F"/>
    <w:rsid w:val="003A17A5"/>
    <w:rsid w:val="004175C4"/>
    <w:rsid w:val="00475BD7"/>
    <w:rsid w:val="00482ED2"/>
    <w:rsid w:val="004952F4"/>
    <w:rsid w:val="004C0BF2"/>
    <w:rsid w:val="004D7811"/>
    <w:rsid w:val="004E7B6B"/>
    <w:rsid w:val="005E0723"/>
    <w:rsid w:val="005E2457"/>
    <w:rsid w:val="00634459"/>
    <w:rsid w:val="006835A5"/>
    <w:rsid w:val="006A3549"/>
    <w:rsid w:val="006A73A5"/>
    <w:rsid w:val="006E56AD"/>
    <w:rsid w:val="00755D4A"/>
    <w:rsid w:val="00775BEF"/>
    <w:rsid w:val="00876A78"/>
    <w:rsid w:val="008C4B13"/>
    <w:rsid w:val="00920A20"/>
    <w:rsid w:val="009478FA"/>
    <w:rsid w:val="009D30FE"/>
    <w:rsid w:val="00A23766"/>
    <w:rsid w:val="00A93CA7"/>
    <w:rsid w:val="00B04ECA"/>
    <w:rsid w:val="00B72C73"/>
    <w:rsid w:val="00B87CB2"/>
    <w:rsid w:val="00B910E0"/>
    <w:rsid w:val="00BA6F1C"/>
    <w:rsid w:val="00C26B47"/>
    <w:rsid w:val="00C30EB8"/>
    <w:rsid w:val="00C426E1"/>
    <w:rsid w:val="00CD0C24"/>
    <w:rsid w:val="00DA38DD"/>
    <w:rsid w:val="00E73941"/>
    <w:rsid w:val="00E9791E"/>
    <w:rsid w:val="00EF5ACB"/>
    <w:rsid w:val="00F03170"/>
    <w:rsid w:val="00F032B4"/>
    <w:rsid w:val="00F11A43"/>
    <w:rsid w:val="00F75DE4"/>
    <w:rsid w:val="00FD277A"/>
    <w:rsid w:val="00FE6599"/>
    <w:rsid w:val="013F5F39"/>
    <w:rsid w:val="01437C9C"/>
    <w:rsid w:val="017607F3"/>
    <w:rsid w:val="01FC01DB"/>
    <w:rsid w:val="0227770F"/>
    <w:rsid w:val="027B44E3"/>
    <w:rsid w:val="0283628C"/>
    <w:rsid w:val="02E90CFA"/>
    <w:rsid w:val="030A7C9F"/>
    <w:rsid w:val="032D4760"/>
    <w:rsid w:val="03BE614D"/>
    <w:rsid w:val="03D22144"/>
    <w:rsid w:val="041B6388"/>
    <w:rsid w:val="04705167"/>
    <w:rsid w:val="05451EE9"/>
    <w:rsid w:val="054B38B2"/>
    <w:rsid w:val="05B839EE"/>
    <w:rsid w:val="065A620C"/>
    <w:rsid w:val="06C069D5"/>
    <w:rsid w:val="077C5CB6"/>
    <w:rsid w:val="07921036"/>
    <w:rsid w:val="07A90E15"/>
    <w:rsid w:val="07B471FE"/>
    <w:rsid w:val="07CB4548"/>
    <w:rsid w:val="08C61F26"/>
    <w:rsid w:val="08DD68F8"/>
    <w:rsid w:val="08F5187C"/>
    <w:rsid w:val="0A5E5DEA"/>
    <w:rsid w:val="0B5750F1"/>
    <w:rsid w:val="0CA1581F"/>
    <w:rsid w:val="0DB144A2"/>
    <w:rsid w:val="0DBE326F"/>
    <w:rsid w:val="0EFA14EC"/>
    <w:rsid w:val="0FF56606"/>
    <w:rsid w:val="11553800"/>
    <w:rsid w:val="11880391"/>
    <w:rsid w:val="11DD3A5D"/>
    <w:rsid w:val="11DE4337"/>
    <w:rsid w:val="138A52B7"/>
    <w:rsid w:val="139F5206"/>
    <w:rsid w:val="14C3448E"/>
    <w:rsid w:val="15B13FB4"/>
    <w:rsid w:val="15CB0145"/>
    <w:rsid w:val="15D533D9"/>
    <w:rsid w:val="16157A01"/>
    <w:rsid w:val="17051824"/>
    <w:rsid w:val="174B2FAF"/>
    <w:rsid w:val="175975AE"/>
    <w:rsid w:val="189746FE"/>
    <w:rsid w:val="18E84F59"/>
    <w:rsid w:val="19DB4ABE"/>
    <w:rsid w:val="1A2A3350"/>
    <w:rsid w:val="1A4D7795"/>
    <w:rsid w:val="1A705206"/>
    <w:rsid w:val="1A8F6956"/>
    <w:rsid w:val="1AC217DA"/>
    <w:rsid w:val="1C392E7F"/>
    <w:rsid w:val="1C7D58D7"/>
    <w:rsid w:val="1CA2751E"/>
    <w:rsid w:val="1CF0718B"/>
    <w:rsid w:val="1CFF40BC"/>
    <w:rsid w:val="1DBB0E8E"/>
    <w:rsid w:val="1ECE699F"/>
    <w:rsid w:val="1FCB0A25"/>
    <w:rsid w:val="2020147D"/>
    <w:rsid w:val="208223EE"/>
    <w:rsid w:val="20C31E08"/>
    <w:rsid w:val="21085544"/>
    <w:rsid w:val="21A62A33"/>
    <w:rsid w:val="21A733EF"/>
    <w:rsid w:val="21B55BF5"/>
    <w:rsid w:val="22A77C33"/>
    <w:rsid w:val="23C87E61"/>
    <w:rsid w:val="243459E2"/>
    <w:rsid w:val="246532A2"/>
    <w:rsid w:val="24F353B2"/>
    <w:rsid w:val="24F46A34"/>
    <w:rsid w:val="255D0A7D"/>
    <w:rsid w:val="270F224B"/>
    <w:rsid w:val="27330FFE"/>
    <w:rsid w:val="2826784C"/>
    <w:rsid w:val="29657743"/>
    <w:rsid w:val="29A0362E"/>
    <w:rsid w:val="29E826D6"/>
    <w:rsid w:val="29FD476D"/>
    <w:rsid w:val="2A1426EB"/>
    <w:rsid w:val="2B5E72FD"/>
    <w:rsid w:val="2B6A1A29"/>
    <w:rsid w:val="2E0B1980"/>
    <w:rsid w:val="2E402CEA"/>
    <w:rsid w:val="2F5C7FF7"/>
    <w:rsid w:val="2FAD21D8"/>
    <w:rsid w:val="2FD25609"/>
    <w:rsid w:val="317D31E5"/>
    <w:rsid w:val="31F664D7"/>
    <w:rsid w:val="32293DB5"/>
    <w:rsid w:val="34046622"/>
    <w:rsid w:val="34C376CB"/>
    <w:rsid w:val="34D505CF"/>
    <w:rsid w:val="34F12F90"/>
    <w:rsid w:val="35075A3D"/>
    <w:rsid w:val="3598340C"/>
    <w:rsid w:val="35C13564"/>
    <w:rsid w:val="36383A3B"/>
    <w:rsid w:val="3736145D"/>
    <w:rsid w:val="3777094B"/>
    <w:rsid w:val="383E568D"/>
    <w:rsid w:val="38712853"/>
    <w:rsid w:val="38BA1632"/>
    <w:rsid w:val="38EA0422"/>
    <w:rsid w:val="39AF3A45"/>
    <w:rsid w:val="39B50A30"/>
    <w:rsid w:val="39F76B44"/>
    <w:rsid w:val="39F90AA6"/>
    <w:rsid w:val="3AC65EB5"/>
    <w:rsid w:val="3AE96BE3"/>
    <w:rsid w:val="3BA033DD"/>
    <w:rsid w:val="3BCD3BB2"/>
    <w:rsid w:val="3C147E29"/>
    <w:rsid w:val="3C495016"/>
    <w:rsid w:val="3D68358F"/>
    <w:rsid w:val="3DBD6105"/>
    <w:rsid w:val="3E621315"/>
    <w:rsid w:val="3E893BA0"/>
    <w:rsid w:val="408338CA"/>
    <w:rsid w:val="40DE01D3"/>
    <w:rsid w:val="41B077CF"/>
    <w:rsid w:val="424D6AD7"/>
    <w:rsid w:val="424E0DBD"/>
    <w:rsid w:val="42A423E2"/>
    <w:rsid w:val="42BC6783"/>
    <w:rsid w:val="43331E13"/>
    <w:rsid w:val="434C2AAC"/>
    <w:rsid w:val="44051107"/>
    <w:rsid w:val="44367036"/>
    <w:rsid w:val="445C19BB"/>
    <w:rsid w:val="44A65B45"/>
    <w:rsid w:val="44BC0BCB"/>
    <w:rsid w:val="44C24001"/>
    <w:rsid w:val="44E32CFB"/>
    <w:rsid w:val="46010A6F"/>
    <w:rsid w:val="474D4056"/>
    <w:rsid w:val="475F1FDB"/>
    <w:rsid w:val="48581549"/>
    <w:rsid w:val="487E0896"/>
    <w:rsid w:val="48DF5A26"/>
    <w:rsid w:val="494E2307"/>
    <w:rsid w:val="49553A98"/>
    <w:rsid w:val="495A0CAC"/>
    <w:rsid w:val="49B303BC"/>
    <w:rsid w:val="4B1C36B9"/>
    <w:rsid w:val="4B322C12"/>
    <w:rsid w:val="4BE60F1D"/>
    <w:rsid w:val="4C1659AE"/>
    <w:rsid w:val="4C257235"/>
    <w:rsid w:val="4CCE79E7"/>
    <w:rsid w:val="4CD77692"/>
    <w:rsid w:val="4D422183"/>
    <w:rsid w:val="4DD252B5"/>
    <w:rsid w:val="4FDA2B47"/>
    <w:rsid w:val="50F96FFC"/>
    <w:rsid w:val="52100AA2"/>
    <w:rsid w:val="52485B88"/>
    <w:rsid w:val="54671B69"/>
    <w:rsid w:val="54A86D6F"/>
    <w:rsid w:val="55A00BE7"/>
    <w:rsid w:val="55DD06EB"/>
    <w:rsid w:val="569D5512"/>
    <w:rsid w:val="56B040AF"/>
    <w:rsid w:val="574951C4"/>
    <w:rsid w:val="57BB319C"/>
    <w:rsid w:val="57CB1AC4"/>
    <w:rsid w:val="58AE7945"/>
    <w:rsid w:val="58B404DC"/>
    <w:rsid w:val="58FC29EF"/>
    <w:rsid w:val="593730CB"/>
    <w:rsid w:val="59EA7E2A"/>
    <w:rsid w:val="5A0E434F"/>
    <w:rsid w:val="5A6C2FE9"/>
    <w:rsid w:val="5A934F9E"/>
    <w:rsid w:val="5A99767B"/>
    <w:rsid w:val="5B165452"/>
    <w:rsid w:val="5B3F7D02"/>
    <w:rsid w:val="5B4F11B4"/>
    <w:rsid w:val="5B633C5F"/>
    <w:rsid w:val="5C766E29"/>
    <w:rsid w:val="5CCA5724"/>
    <w:rsid w:val="5CDA23D8"/>
    <w:rsid w:val="5CDC2047"/>
    <w:rsid w:val="5D823E2B"/>
    <w:rsid w:val="5D832422"/>
    <w:rsid w:val="5DA516E7"/>
    <w:rsid w:val="5DFD09B2"/>
    <w:rsid w:val="5E3C40F7"/>
    <w:rsid w:val="5ED30E8D"/>
    <w:rsid w:val="5F89207F"/>
    <w:rsid w:val="600E1373"/>
    <w:rsid w:val="604D4C6F"/>
    <w:rsid w:val="619D14D6"/>
    <w:rsid w:val="639C0F2B"/>
    <w:rsid w:val="63D556A7"/>
    <w:rsid w:val="63DE39EA"/>
    <w:rsid w:val="64085A7D"/>
    <w:rsid w:val="64177CEA"/>
    <w:rsid w:val="6525359B"/>
    <w:rsid w:val="654B3E73"/>
    <w:rsid w:val="65674B98"/>
    <w:rsid w:val="662F3CAF"/>
    <w:rsid w:val="6646288C"/>
    <w:rsid w:val="66526AE4"/>
    <w:rsid w:val="67982422"/>
    <w:rsid w:val="68003F7B"/>
    <w:rsid w:val="68C77CB4"/>
    <w:rsid w:val="68E72104"/>
    <w:rsid w:val="69C8232E"/>
    <w:rsid w:val="6A3D5D54"/>
    <w:rsid w:val="6AA23902"/>
    <w:rsid w:val="6B1A6F95"/>
    <w:rsid w:val="6B564AA5"/>
    <w:rsid w:val="6CF3094C"/>
    <w:rsid w:val="6D3A0D36"/>
    <w:rsid w:val="6D6504CA"/>
    <w:rsid w:val="6DDB3069"/>
    <w:rsid w:val="6E4B7AC7"/>
    <w:rsid w:val="6E8E69EC"/>
    <w:rsid w:val="6F025B03"/>
    <w:rsid w:val="6F1A48B6"/>
    <w:rsid w:val="6F776CC2"/>
    <w:rsid w:val="6F957F55"/>
    <w:rsid w:val="6F9831D1"/>
    <w:rsid w:val="704A1775"/>
    <w:rsid w:val="70BF22FD"/>
    <w:rsid w:val="70F73101"/>
    <w:rsid w:val="714B72E9"/>
    <w:rsid w:val="7188583A"/>
    <w:rsid w:val="71ED12A0"/>
    <w:rsid w:val="72147057"/>
    <w:rsid w:val="723914F7"/>
    <w:rsid w:val="725D3437"/>
    <w:rsid w:val="728101B8"/>
    <w:rsid w:val="72BD3C5C"/>
    <w:rsid w:val="72BD5C84"/>
    <w:rsid w:val="734C0DB6"/>
    <w:rsid w:val="743E2DF5"/>
    <w:rsid w:val="75EC72EC"/>
    <w:rsid w:val="767B0330"/>
    <w:rsid w:val="768622C8"/>
    <w:rsid w:val="768F223F"/>
    <w:rsid w:val="76985084"/>
    <w:rsid w:val="76C7077E"/>
    <w:rsid w:val="788B01D8"/>
    <w:rsid w:val="78C03D81"/>
    <w:rsid w:val="78FF6FF6"/>
    <w:rsid w:val="79055BA7"/>
    <w:rsid w:val="795971B9"/>
    <w:rsid w:val="797D0560"/>
    <w:rsid w:val="799932A5"/>
    <w:rsid w:val="79A5003A"/>
    <w:rsid w:val="79DA0257"/>
    <w:rsid w:val="7A7362FE"/>
    <w:rsid w:val="7B9D2AF7"/>
    <w:rsid w:val="7BFB621D"/>
    <w:rsid w:val="7C311CD3"/>
    <w:rsid w:val="7C69673C"/>
    <w:rsid w:val="7D843B29"/>
    <w:rsid w:val="7DB65895"/>
    <w:rsid w:val="7E33357D"/>
    <w:rsid w:val="7EFC2974"/>
    <w:rsid w:val="7F9B734D"/>
    <w:rsid w:val="FBDEEB6C"/>
    <w:rsid w:val="FDBF56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paragraph" w:customStyle="1" w:styleId="10">
    <w:name w:val="Table Text"/>
    <w:basedOn w:val="1"/>
    <w:semiHidden/>
    <w:qFormat/>
    <w:uiPriority w:val="0"/>
    <w:rPr>
      <w:rFonts w:ascii="仿宋" w:hAnsi="仿宋" w:eastAsia="仿宋" w:cs="仿宋"/>
      <w:sz w:val="22"/>
      <w:szCs w:val="22"/>
      <w:lang w:eastAsia="en-US"/>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WPSOffice手动目录 1"/>
    <w:qFormat/>
    <w:uiPriority w:val="0"/>
    <w:rPr>
      <w:rFonts w:ascii="Times New Roman" w:hAnsi="Times New Roman" w:eastAsia="宋体" w:cs="Times New Roman"/>
      <w:lang w:val="en-US" w:eastAsia="zh-CN" w:bidi="ar-SA"/>
    </w:rPr>
  </w:style>
  <w:style w:type="character" w:customStyle="1" w:styleId="13">
    <w:name w:val="批注框文本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2480</Words>
  <Characters>14137</Characters>
  <Lines>117</Lines>
  <Paragraphs>33</Paragraphs>
  <TotalTime>3</TotalTime>
  <ScaleCrop>false</ScaleCrop>
  <LinksUpToDate>false</LinksUpToDate>
  <CharactersWithSpaces>16584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2023-07-10T19:15:00Z</dcterms:created>
  <dc:creator>admin</dc:creator>
  <cp:lastModifiedBy>gyb1</cp:lastModifiedBy>
  <dcterms:modified xsi:type="dcterms:W3CDTF">2023-09-12T00:27:12Z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3099D2E4A3F24B60AFBF3A845865E62E_11</vt:lpwstr>
  </property>
</Properties>
</file>