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b/>
          <w:bCs/>
          <w:i w:val="0"/>
          <w:iCs w:val="0"/>
          <w:caps w:val="0"/>
          <w:color w:val="333333"/>
          <w:spacing w:val="0"/>
          <w:sz w:val="29"/>
          <w:szCs w:val="29"/>
        </w:rPr>
      </w:pPr>
      <w:r>
        <w:rPr>
          <w:rFonts w:hint="eastAsia" w:ascii="微软雅黑" w:hAnsi="微软雅黑" w:eastAsia="微软雅黑" w:cs="微软雅黑"/>
          <w:b/>
          <w:bCs/>
          <w:i w:val="0"/>
          <w:iCs w:val="0"/>
          <w:caps w:val="0"/>
          <w:color w:val="333333"/>
          <w:spacing w:val="0"/>
          <w:sz w:val="29"/>
          <w:szCs w:val="29"/>
          <w:bdr w:val="none" w:color="auto" w:sz="0" w:space="0"/>
          <w:shd w:val="clear" w:fill="FFFFFF"/>
        </w:rPr>
        <w:t>《餐饮业大气污染物排放标准》解读</w:t>
      </w:r>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餐饮业大气污染物主要为油烟和挥发性有机物</w:t>
      </w: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（以非甲烷总烃表征）。加强餐饮油烟整治、严格管控挥发性有机物，是大气污染治理的重点之一。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一、标准</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编制背景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省委、省政府高度重视餐饮油烟治理工作，2022年印发《关于深入打好污染防治攻坚战的实施意见》提出要深化餐饮油烟污染治理；2023年省大气污染防治工作领导小组办公室印发的《河北省深入打好重污染天气消除、臭氧污染防治、柴油货车污染治理和城市大气污染深度治理攻坚战行动方案》要求开展餐饮油烟专项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8" w:firstLine="640"/>
        <w:jc w:val="left"/>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为贯彻落实《中华人民共和国环境保护法》《中华人民共和国大气污染防治法》，合理确定油烟排放限值，加强对非甲烷总烃的排放控制，促进餐饮服务单位安装高效烟气净化设施并加强运维管理，有效防治餐饮业大气污染，省生态环境厅、省市场监督管理局组织编制了《餐饮业大气污染物排放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二、标准主要内容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本标准包含适用范围、规范性引用文件、术语与定义、排放限值及管理要求、监测要求、达标判定要求和实施与监督7个部分，主要特点如下：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4"/>
        <w:jc w:val="both"/>
        <w:rPr>
          <w:rFonts w:hint="default" w:ascii="Times New Roman" w:hAnsi="Times New Roman" w:cs="Times New Roman"/>
          <w:i w:val="0"/>
          <w:iCs w:val="0"/>
          <w:caps w:val="0"/>
          <w:color w:val="000000"/>
          <w:spacing w:val="6"/>
          <w:sz w:val="28"/>
          <w:szCs w:val="28"/>
        </w:rPr>
      </w:pPr>
      <w:r>
        <w:rPr>
          <w:rFonts w:ascii="方正楷体_GBK" w:hAnsi="方正楷体_GBK" w:eastAsia="方正楷体_GBK" w:cs="方正楷体_GBK"/>
          <w:i w:val="0"/>
          <w:iCs w:val="0"/>
          <w:caps w:val="0"/>
          <w:color w:val="000000"/>
          <w:spacing w:val="6"/>
          <w:sz w:val="32"/>
          <w:szCs w:val="32"/>
          <w:bdr w:val="none" w:color="auto" w:sz="0" w:space="0"/>
          <w:shd w:val="clear" w:fill="FFFFFF"/>
        </w:rPr>
        <w:t>（一）对餐饮服务单位分类管理。</w:t>
      </w:r>
      <w:r>
        <w:rPr>
          <w:rFonts w:hint="default" w:ascii="仿宋_GB2312" w:hAnsi="Times New Roman" w:eastAsia="仿宋_GB2312" w:cs="仿宋_GB2312"/>
          <w:i w:val="0"/>
          <w:iCs w:val="0"/>
          <w:caps w:val="0"/>
          <w:color w:val="000000"/>
          <w:spacing w:val="6"/>
          <w:sz w:val="32"/>
          <w:szCs w:val="32"/>
          <w:bdr w:val="none" w:color="auto" w:sz="0" w:space="0"/>
          <w:shd w:val="clear" w:fill="FFFFFF"/>
        </w:rPr>
        <w:t>为突出精准管控，分大、中、小不同规模餐饮服务单位实行差异化管理。国家标准以基准灶头数划分餐饮服务单位规模，以灶头总功率、对应集气罩灶头总投影面积折算基准灶头数。为增强规模划分的可操作性，借鉴京津及其他省市地方标准成果经验，增加经营场所使用面积、就餐座位数两项折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4"/>
        <w:jc w:val="both"/>
        <w:rPr>
          <w:rFonts w:hint="default" w:ascii="Times New Roman" w:hAnsi="Times New Roman" w:cs="Times New Roman"/>
          <w:i w:val="0"/>
          <w:iCs w:val="0"/>
          <w:caps w:val="0"/>
          <w:color w:val="000000"/>
          <w:spacing w:val="6"/>
          <w:sz w:val="28"/>
          <w:szCs w:val="28"/>
        </w:rPr>
      </w:pPr>
      <w:r>
        <w:rPr>
          <w:rFonts w:hint="default" w:ascii="方正楷体_GBK" w:hAnsi="方正楷体_GBK" w:eastAsia="方正楷体_GBK" w:cs="方正楷体_GBK"/>
          <w:i w:val="0"/>
          <w:iCs w:val="0"/>
          <w:caps w:val="0"/>
          <w:color w:val="000000"/>
          <w:spacing w:val="6"/>
          <w:sz w:val="32"/>
          <w:szCs w:val="32"/>
          <w:bdr w:val="none" w:color="auto" w:sz="0" w:space="0"/>
          <w:shd w:val="clear" w:fill="FFFFFF"/>
        </w:rPr>
        <w:t>（二）科学确定油烟排放限值。</w:t>
      </w:r>
      <w:r>
        <w:rPr>
          <w:rFonts w:ascii="仿宋" w:hAnsi="仿宋" w:eastAsia="仿宋" w:cs="仿宋"/>
          <w:i w:val="0"/>
          <w:iCs w:val="0"/>
          <w:caps w:val="0"/>
          <w:color w:val="000000"/>
          <w:spacing w:val="6"/>
          <w:sz w:val="32"/>
          <w:szCs w:val="32"/>
          <w:bdr w:val="none" w:color="auto" w:sz="0" w:space="0"/>
          <w:shd w:val="clear" w:fill="FFFFFF"/>
        </w:rPr>
        <w:t>国</w:t>
      </w:r>
      <w:r>
        <w:rPr>
          <w:rFonts w:hint="eastAsia" w:ascii="仿宋" w:hAnsi="仿宋" w:eastAsia="仿宋" w:cs="仿宋"/>
          <w:i w:val="0"/>
          <w:iCs w:val="0"/>
          <w:caps w:val="0"/>
          <w:color w:val="000000"/>
          <w:spacing w:val="6"/>
          <w:sz w:val="32"/>
          <w:szCs w:val="32"/>
          <w:bdr w:val="none" w:color="auto" w:sz="0" w:space="0"/>
          <w:shd w:val="clear" w:fill="FFFFFF"/>
        </w:rPr>
        <w:t>家标准规定油烟的最高允许排放浓度为2.0mg/m</w:t>
      </w:r>
      <w:r>
        <w:rPr>
          <w:rFonts w:hint="eastAsia" w:ascii="仿宋" w:hAnsi="仿宋" w:eastAsia="仿宋" w:cs="仿宋"/>
          <w:i w:val="0"/>
          <w:iCs w:val="0"/>
          <w:caps w:val="0"/>
          <w:color w:val="000000"/>
          <w:spacing w:val="6"/>
          <w:sz w:val="32"/>
          <w:szCs w:val="32"/>
          <w:bdr w:val="none" w:color="auto" w:sz="0" w:space="0"/>
          <w:shd w:val="clear" w:fill="FFFFFF"/>
          <w:vertAlign w:val="superscript"/>
        </w:rPr>
        <w:t>3</w:t>
      </w:r>
      <w:r>
        <w:rPr>
          <w:rFonts w:hint="eastAsia" w:ascii="仿宋" w:hAnsi="仿宋" w:eastAsia="仿宋" w:cs="仿宋"/>
          <w:i w:val="0"/>
          <w:iCs w:val="0"/>
          <w:caps w:val="0"/>
          <w:color w:val="000000"/>
          <w:spacing w:val="6"/>
          <w:sz w:val="32"/>
          <w:szCs w:val="32"/>
          <w:bdr w:val="none" w:color="auto" w:sz="0" w:space="0"/>
          <w:shd w:val="clear" w:fill="FFFFFF"/>
        </w:rPr>
        <w:t>。为加强油烟排放控制，对不同规模的餐饮服务单位确定了最高允许排放浓度，大、中、小型</w:t>
      </w:r>
      <w:r>
        <w:rPr>
          <w:rFonts w:hint="default" w:ascii="仿宋_GB2312" w:hAnsi="Times New Roman" w:eastAsia="仿宋_GB2312" w:cs="仿宋_GB2312"/>
          <w:i w:val="0"/>
          <w:iCs w:val="0"/>
          <w:caps w:val="0"/>
          <w:color w:val="000000"/>
          <w:spacing w:val="6"/>
          <w:sz w:val="32"/>
          <w:szCs w:val="32"/>
          <w:bdr w:val="none" w:color="auto" w:sz="0" w:space="0"/>
          <w:shd w:val="clear" w:fill="FFFFFF"/>
        </w:rPr>
        <w:t>餐饮服务单位分别执行</w:t>
      </w:r>
      <w:r>
        <w:rPr>
          <w:rFonts w:hint="eastAsia" w:ascii="仿宋" w:hAnsi="仿宋" w:eastAsia="仿宋" w:cs="仿宋"/>
          <w:i w:val="0"/>
          <w:iCs w:val="0"/>
          <w:caps w:val="0"/>
          <w:color w:val="000000"/>
          <w:spacing w:val="6"/>
          <w:sz w:val="32"/>
          <w:szCs w:val="32"/>
          <w:bdr w:val="none" w:color="auto" w:sz="0" w:space="0"/>
          <w:shd w:val="clear" w:fill="FFFFFF"/>
        </w:rPr>
        <w:t>1.0mg/m</w:t>
      </w:r>
      <w:r>
        <w:rPr>
          <w:rFonts w:hint="eastAsia" w:ascii="仿宋" w:hAnsi="仿宋" w:eastAsia="仿宋" w:cs="仿宋"/>
          <w:i w:val="0"/>
          <w:iCs w:val="0"/>
          <w:caps w:val="0"/>
          <w:color w:val="000000"/>
          <w:spacing w:val="6"/>
          <w:sz w:val="32"/>
          <w:szCs w:val="32"/>
          <w:bdr w:val="none" w:color="auto" w:sz="0" w:space="0"/>
          <w:shd w:val="clear" w:fill="FFFFFF"/>
          <w:vertAlign w:val="superscript"/>
        </w:rPr>
        <w:t>3</w:t>
      </w:r>
      <w:r>
        <w:rPr>
          <w:rFonts w:hint="eastAsia" w:ascii="仿宋" w:hAnsi="仿宋" w:eastAsia="仿宋" w:cs="仿宋"/>
          <w:i w:val="0"/>
          <w:iCs w:val="0"/>
          <w:caps w:val="0"/>
          <w:color w:val="000000"/>
          <w:spacing w:val="6"/>
          <w:sz w:val="32"/>
          <w:szCs w:val="32"/>
          <w:bdr w:val="none" w:color="auto" w:sz="0" w:space="0"/>
          <w:shd w:val="clear" w:fill="FFFFFF"/>
        </w:rPr>
        <w:t>、1.2mg/m</w:t>
      </w:r>
      <w:r>
        <w:rPr>
          <w:rFonts w:hint="eastAsia" w:ascii="仿宋" w:hAnsi="仿宋" w:eastAsia="仿宋" w:cs="仿宋"/>
          <w:i w:val="0"/>
          <w:iCs w:val="0"/>
          <w:caps w:val="0"/>
          <w:color w:val="000000"/>
          <w:spacing w:val="6"/>
          <w:sz w:val="32"/>
          <w:szCs w:val="32"/>
          <w:bdr w:val="none" w:color="auto" w:sz="0" w:space="0"/>
          <w:shd w:val="clear" w:fill="FFFFFF"/>
          <w:vertAlign w:val="superscript"/>
        </w:rPr>
        <w:t>3</w:t>
      </w:r>
      <w:r>
        <w:rPr>
          <w:rFonts w:hint="eastAsia" w:ascii="仿宋" w:hAnsi="仿宋" w:eastAsia="仿宋" w:cs="仿宋"/>
          <w:i w:val="0"/>
          <w:iCs w:val="0"/>
          <w:caps w:val="0"/>
          <w:color w:val="000000"/>
          <w:spacing w:val="6"/>
          <w:sz w:val="32"/>
          <w:szCs w:val="32"/>
          <w:bdr w:val="none" w:color="auto" w:sz="0" w:space="0"/>
          <w:shd w:val="clear" w:fill="FFFFFF"/>
        </w:rPr>
        <w:t>、1.5mg/m</w:t>
      </w:r>
      <w:r>
        <w:rPr>
          <w:rFonts w:hint="eastAsia" w:ascii="仿宋" w:hAnsi="仿宋" w:eastAsia="仿宋" w:cs="仿宋"/>
          <w:i w:val="0"/>
          <w:iCs w:val="0"/>
          <w:caps w:val="0"/>
          <w:color w:val="000000"/>
          <w:spacing w:val="6"/>
          <w:sz w:val="32"/>
          <w:szCs w:val="32"/>
          <w:bdr w:val="none" w:color="auto" w:sz="0" w:space="0"/>
          <w:shd w:val="clear" w:fill="FFFFFF"/>
          <w:vertAlign w:val="superscript"/>
        </w:rPr>
        <w:t>3</w:t>
      </w:r>
      <w:r>
        <w:rPr>
          <w:rFonts w:hint="eastAsia" w:ascii="仿宋" w:hAnsi="仿宋" w:eastAsia="仿宋" w:cs="仿宋"/>
          <w:i w:val="0"/>
          <w:iCs w:val="0"/>
          <w:caps w:val="0"/>
          <w:color w:val="000000"/>
          <w:spacing w:val="6"/>
          <w:sz w:val="32"/>
          <w:szCs w:val="32"/>
          <w:bdr w:val="none" w:color="auto" w:sz="0" w:space="0"/>
          <w:shd w:val="clear" w:fill="FFFFFF"/>
        </w:rPr>
        <w:t>排放限值</w:t>
      </w:r>
      <w:r>
        <w:rPr>
          <w:rFonts w:hint="default" w:ascii="仿宋_GB2312" w:hAnsi="Times New Roman" w:eastAsia="仿宋_GB2312" w:cs="仿宋_GB2312"/>
          <w:i w:val="0"/>
          <w:iCs w:val="0"/>
          <w:caps w:val="0"/>
          <w:color w:val="000000"/>
          <w:spacing w:val="6"/>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4"/>
        <w:jc w:val="left"/>
        <w:rPr>
          <w:rFonts w:hint="default" w:ascii="Times New Roman" w:hAnsi="Times New Roman" w:cs="Times New Roman"/>
          <w:i w:val="0"/>
          <w:iCs w:val="0"/>
          <w:caps w:val="0"/>
          <w:color w:val="000000"/>
          <w:spacing w:val="6"/>
          <w:sz w:val="28"/>
          <w:szCs w:val="28"/>
        </w:rPr>
      </w:pPr>
      <w:r>
        <w:rPr>
          <w:rFonts w:hint="default" w:ascii="方正楷体_GBK" w:hAnsi="方正楷体_GBK" w:eastAsia="方正楷体_GBK" w:cs="方正楷体_GBK"/>
          <w:i w:val="0"/>
          <w:iCs w:val="0"/>
          <w:caps w:val="0"/>
          <w:color w:val="000000"/>
          <w:spacing w:val="6"/>
          <w:sz w:val="32"/>
          <w:szCs w:val="32"/>
          <w:bdr w:val="none" w:color="auto" w:sz="0" w:space="0"/>
          <w:shd w:val="clear" w:fill="FFFFFF"/>
        </w:rPr>
        <w:t>（三）增加非甲烷总烃控制指标。</w:t>
      </w:r>
      <w:r>
        <w:rPr>
          <w:rFonts w:hint="eastAsia" w:ascii="仿宋" w:hAnsi="仿宋" w:eastAsia="仿宋" w:cs="仿宋"/>
          <w:i w:val="0"/>
          <w:iCs w:val="0"/>
          <w:caps w:val="0"/>
          <w:color w:val="000000"/>
          <w:spacing w:val="6"/>
          <w:sz w:val="32"/>
          <w:szCs w:val="32"/>
          <w:bdr w:val="none" w:color="auto" w:sz="0" w:space="0"/>
          <w:shd w:val="clear" w:fill="FFFFFF"/>
        </w:rPr>
        <w:t>为强化对餐饮服务单位挥发性有机物的排放控制，增加了非甲烷总烃控制项目，最高允许排放浓度为10mg/m</w:t>
      </w:r>
      <w:r>
        <w:rPr>
          <w:rFonts w:hint="eastAsia" w:ascii="仿宋" w:hAnsi="仿宋" w:eastAsia="仿宋" w:cs="仿宋"/>
          <w:i w:val="0"/>
          <w:iCs w:val="0"/>
          <w:caps w:val="0"/>
          <w:color w:val="000000"/>
          <w:spacing w:val="6"/>
          <w:sz w:val="32"/>
          <w:szCs w:val="32"/>
          <w:bdr w:val="none" w:color="auto" w:sz="0" w:space="0"/>
          <w:shd w:val="clear" w:fill="FFFFFF"/>
          <w:vertAlign w:val="superscript"/>
        </w:rPr>
        <w:t>3</w:t>
      </w:r>
      <w:r>
        <w:rPr>
          <w:rFonts w:hint="eastAsia" w:ascii="仿宋" w:hAnsi="仿宋" w:eastAsia="仿宋" w:cs="仿宋"/>
          <w:i w:val="0"/>
          <w:iCs w:val="0"/>
          <w:caps w:val="0"/>
          <w:color w:val="000000"/>
          <w:spacing w:val="6"/>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4"/>
        <w:jc w:val="left"/>
        <w:rPr>
          <w:rFonts w:hint="default" w:ascii="Times New Roman" w:hAnsi="Times New Roman" w:cs="Times New Roman"/>
          <w:i w:val="0"/>
          <w:iCs w:val="0"/>
          <w:caps w:val="0"/>
          <w:color w:val="000000"/>
          <w:spacing w:val="6"/>
          <w:sz w:val="28"/>
          <w:szCs w:val="28"/>
        </w:rPr>
      </w:pPr>
      <w:r>
        <w:rPr>
          <w:rFonts w:hint="default" w:ascii="方正楷体_GBK" w:hAnsi="方正楷体_GBK" w:eastAsia="方正楷体_GBK" w:cs="方正楷体_GBK"/>
          <w:i w:val="0"/>
          <w:iCs w:val="0"/>
          <w:caps w:val="0"/>
          <w:color w:val="000000"/>
          <w:spacing w:val="6"/>
          <w:sz w:val="32"/>
          <w:szCs w:val="32"/>
          <w:bdr w:val="none" w:color="auto" w:sz="0" w:space="0"/>
          <w:shd w:val="clear" w:fill="FFFFFF"/>
        </w:rPr>
        <w:t>（四）加强治理设施安装维护。</w:t>
      </w:r>
      <w:r>
        <w:rPr>
          <w:rFonts w:hint="default" w:ascii="仿宋_GB2312" w:hAnsi="Times New Roman" w:eastAsia="仿宋_GB2312" w:cs="仿宋_GB2312"/>
          <w:i w:val="0"/>
          <w:iCs w:val="0"/>
          <w:caps w:val="0"/>
          <w:color w:val="000000"/>
          <w:spacing w:val="6"/>
          <w:sz w:val="32"/>
          <w:szCs w:val="32"/>
          <w:bdr w:val="none" w:color="auto" w:sz="0" w:space="0"/>
          <w:shd w:val="clear" w:fill="FFFFFF"/>
        </w:rPr>
        <w:t>针对目前餐饮服务单位烟气净化设施安装和运维中存在的问题，明确了管理要求。</w:t>
      </w:r>
      <w:r>
        <w:rPr>
          <w:rFonts w:hint="default" w:ascii="仿宋_GB2312" w:hAnsi="Times New Roman" w:eastAsia="仿宋_GB2312" w:cs="仿宋_GB2312"/>
          <w:b w:val="0"/>
          <w:bCs w:val="0"/>
          <w:i w:val="0"/>
          <w:iCs w:val="0"/>
          <w:caps w:val="0"/>
          <w:color w:val="000000"/>
          <w:spacing w:val="6"/>
          <w:sz w:val="32"/>
          <w:szCs w:val="32"/>
          <w:bdr w:val="none" w:color="auto" w:sz="0" w:space="0"/>
          <w:shd w:val="clear" w:fill="FFFFFF"/>
        </w:rPr>
        <w:t>一是</w:t>
      </w:r>
      <w:r>
        <w:rPr>
          <w:rFonts w:hint="default" w:ascii="仿宋_GB2312" w:hAnsi="Times New Roman" w:eastAsia="仿宋_GB2312" w:cs="仿宋_GB2312"/>
          <w:i w:val="0"/>
          <w:iCs w:val="0"/>
          <w:caps w:val="0"/>
          <w:color w:val="000000"/>
          <w:spacing w:val="6"/>
          <w:sz w:val="32"/>
          <w:szCs w:val="32"/>
          <w:bdr w:val="none" w:color="auto" w:sz="0" w:space="0"/>
          <w:shd w:val="clear" w:fill="FFFFFF"/>
        </w:rPr>
        <w:t>餐饮服务单位必须安装集气罩和治理设施，并且集气罩投影面积大于灶台面；</w:t>
      </w:r>
      <w:r>
        <w:rPr>
          <w:rFonts w:hint="default" w:ascii="仿宋_GB2312" w:hAnsi="Times New Roman" w:eastAsia="仿宋_GB2312" w:cs="仿宋_GB2312"/>
          <w:b w:val="0"/>
          <w:bCs w:val="0"/>
          <w:i w:val="0"/>
          <w:iCs w:val="0"/>
          <w:caps w:val="0"/>
          <w:color w:val="000000"/>
          <w:spacing w:val="6"/>
          <w:sz w:val="32"/>
          <w:szCs w:val="32"/>
          <w:bdr w:val="none" w:color="auto" w:sz="0" w:space="0"/>
          <w:shd w:val="clear" w:fill="FFFFFF"/>
        </w:rPr>
        <w:t>二是</w:t>
      </w:r>
      <w:r>
        <w:rPr>
          <w:rFonts w:hint="default" w:ascii="仿宋_GB2312" w:hAnsi="Times New Roman" w:eastAsia="仿宋_GB2312" w:cs="仿宋_GB2312"/>
          <w:i w:val="0"/>
          <w:iCs w:val="0"/>
          <w:caps w:val="0"/>
          <w:color w:val="000000"/>
          <w:spacing w:val="6"/>
          <w:sz w:val="32"/>
          <w:szCs w:val="32"/>
          <w:bdr w:val="none" w:color="auto" w:sz="0" w:space="0"/>
          <w:shd w:val="clear" w:fill="FFFFFF"/>
        </w:rPr>
        <w:t>净化设施应在烹饪作业期间全过程开启，并与排风机联动；</w:t>
      </w:r>
      <w:r>
        <w:rPr>
          <w:rFonts w:hint="default" w:ascii="仿宋_GB2312" w:hAnsi="Times New Roman" w:eastAsia="仿宋_GB2312" w:cs="仿宋_GB2312"/>
          <w:b w:val="0"/>
          <w:bCs w:val="0"/>
          <w:i w:val="0"/>
          <w:iCs w:val="0"/>
          <w:caps w:val="0"/>
          <w:color w:val="000000"/>
          <w:spacing w:val="6"/>
          <w:sz w:val="32"/>
          <w:szCs w:val="32"/>
          <w:bdr w:val="none" w:color="auto" w:sz="0" w:space="0"/>
          <w:shd w:val="clear" w:fill="FFFFFF"/>
        </w:rPr>
        <w:t>三是</w:t>
      </w:r>
      <w:r>
        <w:rPr>
          <w:rFonts w:hint="default" w:ascii="仿宋_GB2312" w:hAnsi="Times New Roman" w:eastAsia="仿宋_GB2312" w:cs="仿宋_GB2312"/>
          <w:i w:val="0"/>
          <w:iCs w:val="0"/>
          <w:caps w:val="0"/>
          <w:color w:val="000000"/>
          <w:spacing w:val="6"/>
          <w:sz w:val="32"/>
          <w:szCs w:val="32"/>
          <w:bdr w:val="none" w:color="auto" w:sz="0" w:space="0"/>
          <w:shd w:val="clear" w:fill="FFFFFF"/>
        </w:rPr>
        <w:t>加强净化设施维护保养并做好记录，保留台账备查；</w:t>
      </w:r>
      <w:r>
        <w:rPr>
          <w:rFonts w:hint="default" w:ascii="仿宋_GB2312" w:hAnsi="Times New Roman" w:eastAsia="仿宋_GB2312" w:cs="仿宋_GB2312"/>
          <w:b w:val="0"/>
          <w:bCs w:val="0"/>
          <w:i w:val="0"/>
          <w:iCs w:val="0"/>
          <w:caps w:val="0"/>
          <w:color w:val="000000"/>
          <w:spacing w:val="6"/>
          <w:sz w:val="32"/>
          <w:szCs w:val="32"/>
          <w:bdr w:val="none" w:color="auto" w:sz="0" w:space="0"/>
          <w:shd w:val="clear" w:fill="FFFFFF"/>
        </w:rPr>
        <w:t>四是</w:t>
      </w:r>
      <w:r>
        <w:rPr>
          <w:rFonts w:hint="default" w:ascii="仿宋_GB2312" w:hAnsi="Times New Roman" w:eastAsia="仿宋_GB2312" w:cs="仿宋_GB2312"/>
          <w:i w:val="0"/>
          <w:iCs w:val="0"/>
          <w:caps w:val="0"/>
          <w:color w:val="000000"/>
          <w:spacing w:val="6"/>
          <w:sz w:val="32"/>
          <w:szCs w:val="32"/>
          <w:bdr w:val="none" w:color="auto" w:sz="0" w:space="0"/>
          <w:shd w:val="clear" w:fill="FFFFFF"/>
        </w:rPr>
        <w:t>排入公共烟道的，排入前需处理达标。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4"/>
        <w:jc w:val="both"/>
        <w:rPr>
          <w:rFonts w:hint="default" w:ascii="Times New Roman" w:hAnsi="Times New Roman" w:cs="Times New Roman"/>
          <w:i w:val="0"/>
          <w:iCs w:val="0"/>
          <w:caps w:val="0"/>
          <w:color w:val="000000"/>
          <w:spacing w:val="6"/>
          <w:sz w:val="28"/>
          <w:szCs w:val="28"/>
        </w:rPr>
      </w:pPr>
      <w:r>
        <w:rPr>
          <w:rFonts w:hint="default" w:ascii="方正楷体_GBK" w:hAnsi="方正楷体_GBK" w:eastAsia="方正楷体_GBK" w:cs="方正楷体_GBK"/>
          <w:i w:val="0"/>
          <w:iCs w:val="0"/>
          <w:caps w:val="0"/>
          <w:color w:val="000000"/>
          <w:spacing w:val="6"/>
          <w:sz w:val="32"/>
          <w:szCs w:val="32"/>
          <w:bdr w:val="none" w:color="auto" w:sz="0" w:space="0"/>
          <w:shd w:val="clear" w:fill="FFFFFF"/>
        </w:rPr>
        <w:t>（五）优化污染物监测要求。</w:t>
      </w:r>
      <w:r>
        <w:rPr>
          <w:rFonts w:hint="default" w:ascii="仿宋_GB2312" w:hAnsi="Times New Roman" w:eastAsia="仿宋_GB2312" w:cs="仿宋_GB2312"/>
          <w:i w:val="0"/>
          <w:iCs w:val="0"/>
          <w:caps w:val="0"/>
          <w:color w:val="000000"/>
          <w:spacing w:val="6"/>
          <w:sz w:val="32"/>
          <w:szCs w:val="32"/>
          <w:bdr w:val="none" w:color="auto" w:sz="0" w:space="0"/>
          <w:shd w:val="clear" w:fill="FFFFFF"/>
        </w:rPr>
        <w:t>为便于在烹饪短时高峰期内采样，真实反应排放情况，将采样频次由</w:t>
      </w:r>
      <w:r>
        <w:rPr>
          <w:rFonts w:hint="default" w:ascii="仿宋_GB2312" w:hAnsi="Times New Roman" w:eastAsia="仿宋_GB2312" w:cs="仿宋_GB2312"/>
          <w:i w:val="0"/>
          <w:iCs w:val="0"/>
          <w:caps w:val="0"/>
          <w:color w:val="000000"/>
          <w:spacing w:val="0"/>
          <w:sz w:val="32"/>
          <w:szCs w:val="32"/>
          <w:bdr w:val="none" w:color="auto" w:sz="0" w:space="0"/>
          <w:shd w:val="clear" w:fill="FFFFFF"/>
        </w:rPr>
        <w:t>5</w:t>
      </w:r>
      <w:r>
        <w:rPr>
          <w:rFonts w:hint="default" w:ascii="仿宋_GB2312" w:hAnsi="Times New Roman" w:eastAsia="仿宋_GB2312" w:cs="仿宋_GB2312"/>
          <w:i w:val="0"/>
          <w:iCs w:val="0"/>
          <w:caps w:val="0"/>
          <w:color w:val="000000"/>
          <w:spacing w:val="6"/>
          <w:sz w:val="32"/>
          <w:szCs w:val="32"/>
          <w:bdr w:val="none" w:color="auto" w:sz="0" w:space="0"/>
          <w:shd w:val="clear" w:fill="FFFFFF"/>
        </w:rPr>
        <w:t>次调整为不少于</w:t>
      </w:r>
      <w:r>
        <w:rPr>
          <w:rFonts w:hint="default" w:ascii="仿宋_GB2312" w:hAnsi="Times New Roman" w:eastAsia="仿宋_GB2312" w:cs="仿宋_GB2312"/>
          <w:i w:val="0"/>
          <w:iCs w:val="0"/>
          <w:caps w:val="0"/>
          <w:color w:val="000000"/>
          <w:spacing w:val="0"/>
          <w:sz w:val="32"/>
          <w:szCs w:val="32"/>
          <w:bdr w:val="none" w:color="auto" w:sz="0" w:space="0"/>
          <w:shd w:val="clear" w:fill="FFFFFF"/>
        </w:rPr>
        <w:t>3</w:t>
      </w:r>
      <w:r>
        <w:rPr>
          <w:rFonts w:hint="default" w:ascii="仿宋_GB2312" w:hAnsi="Times New Roman" w:eastAsia="仿宋_GB2312" w:cs="仿宋_GB2312"/>
          <w:i w:val="0"/>
          <w:iCs w:val="0"/>
          <w:caps w:val="0"/>
          <w:color w:val="000000"/>
          <w:spacing w:val="6"/>
          <w:sz w:val="32"/>
          <w:szCs w:val="32"/>
          <w:bdr w:val="none" w:color="auto" w:sz="0" w:space="0"/>
          <w:shd w:val="clear" w:fill="FFFFFF"/>
        </w:rPr>
        <w:t>次，以连续</w:t>
      </w:r>
      <w:r>
        <w:rPr>
          <w:rFonts w:hint="default" w:ascii="仿宋_GB2312" w:hAnsi="Times New Roman" w:eastAsia="仿宋_GB2312" w:cs="仿宋_GB2312"/>
          <w:i w:val="0"/>
          <w:iCs w:val="0"/>
          <w:caps w:val="0"/>
          <w:color w:val="000000"/>
          <w:spacing w:val="0"/>
          <w:sz w:val="32"/>
          <w:szCs w:val="32"/>
          <w:bdr w:val="none" w:color="auto" w:sz="0" w:space="0"/>
          <w:shd w:val="clear" w:fill="FFFFFF"/>
        </w:rPr>
        <w:t>3</w:t>
      </w:r>
      <w:r>
        <w:rPr>
          <w:rFonts w:hint="default" w:ascii="仿宋_GB2312" w:hAnsi="Times New Roman" w:eastAsia="仿宋_GB2312" w:cs="仿宋_GB2312"/>
          <w:i w:val="0"/>
          <w:iCs w:val="0"/>
          <w:caps w:val="0"/>
          <w:color w:val="000000"/>
          <w:spacing w:val="6"/>
          <w:sz w:val="32"/>
          <w:szCs w:val="32"/>
          <w:bdr w:val="none" w:color="auto" w:sz="0" w:space="0"/>
          <w:shd w:val="clear" w:fill="FFFFFF"/>
        </w:rPr>
        <w:t>个有效数据平均值即可确定排放浓度。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此外，为促进餐饮服务单位安装烟气净化设施并加强烹饪作业期间管理，在“6.达标判定要求”中增加无组织排放和未安装烟气净化设施的排放行为视同超标的规定（只使用蒸煮等无油烟或非甲烷总烃排放烹饪作业方式的餐饮服务单位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三、标准实施时间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kern w:val="0"/>
          <w:sz w:val="32"/>
          <w:szCs w:val="32"/>
          <w:bdr w:val="none" w:color="auto" w:sz="0" w:space="0"/>
          <w:shd w:val="clear" w:fill="FFFFFF"/>
          <w:lang w:val="en-US" w:eastAsia="zh-CN" w:bidi="ar"/>
        </w:rPr>
        <w:t>    该标准已于2023年8月17日经过省政府批准。考虑到发布后需要解读宣传，部分餐饮服务单位升级改造油烟净化设施也需要一定时间，并综合考虑我省餐饮业现状和大气污染防治需求，分阶段实施：2023年12月1日起在各市（含定州、辛集市）、雄安新区城市建成区内实施，自2025年1月1日起扩展至全省各县（市）建成区。</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0BD16526"/>
    <w:rsid w:val="33E15022"/>
    <w:rsid w:val="396A708B"/>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柠</cp:lastModifiedBy>
  <dcterms:modified xsi:type="dcterms:W3CDTF">2023-09-14T03:36:06Z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62CC98CCAEC340EF8FF07587FBA51F7C</vt:lpwstr>
  </property>
</Properties>
</file>