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center"/>
        <w:textAlignment w:val="auto"/>
        <w:rPr>
          <w:sz w:val="28"/>
          <w:szCs w:val="28"/>
        </w:rPr>
      </w:pPr>
      <w:r>
        <w:rPr>
          <w:rStyle w:val="9"/>
          <w:b/>
          <w:bCs/>
          <w:sz w:val="28"/>
          <w:szCs w:val="28"/>
        </w:rPr>
        <w:t>上海市生态环境局关于印发《上海市纳入2022年度碳排放配额管理单位名单》及《上海市2022年碳排放配额分配方案》的通知</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center"/>
        <w:textAlignment w:val="auto"/>
      </w:pPr>
      <w:r>
        <w:rPr>
          <w:rStyle w:val="9"/>
          <w:b/>
          <w:bCs/>
        </w:rPr>
        <w:t>沪环气候〔2023〕81号</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各有关单</w:t>
      </w:r>
      <w:bookmarkStart w:id="0" w:name="_GoBack"/>
      <w:bookmarkEnd w:id="0"/>
      <w:r>
        <w:t>位：</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根据《上</w:t>
      </w:r>
      <w:r>
        <w:t>海市</w:t>
      </w:r>
      <w:r>
        <w:fldChar w:fldCharType="begin"/>
      </w:r>
      <w:r>
        <w:instrText xml:space="preserve"> HYPERLINK "https://huanbao.bjx.com.cn/topics/tanpaifangguanli/" \t "https://huanbao.bjx.com.cn/news/20230601/_blank" </w:instrText>
      </w:r>
      <w:r>
        <w:fldChar w:fldCharType="separate"/>
      </w:r>
      <w:r>
        <w:t>碳排放管理</w:t>
      </w:r>
      <w:r>
        <w:fldChar w:fldCharType="end"/>
      </w:r>
      <w:r>
        <w:t>试行办法》（沪府令10号）有关规定，我局拟定了《上海市纳入2022年度碳排放配额管理单位名单》（附件1，以下简称《名单》）及《上海市2022年碳排放配额分配方案》（附件2，以下简称《方案》），经市政府同意，作为本市2022年度碳排放配额分配和管理等工作的依据。</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现将《名单》和《方案》予以印发，请各有关单位做好碳排放管理和交易的相关工作。请各纳入配额管理单位按照《上海市碳排放管理试行办法》的有关规定，规范开展自身碳排放监测、报告和履约清缴等工作。</w:t>
      </w:r>
    </w:p>
    <w:p>
      <w:pPr>
        <w:pStyle w:val="6"/>
        <w:keepNext w:val="0"/>
        <w:keepLines w:val="0"/>
        <w:widowControl/>
        <w:suppressLineNumbers w:val="0"/>
        <w:spacing w:before="450" w:beforeAutospacing="0" w:after="0" w:afterAutospacing="0"/>
        <w:ind w:left="0" w:right="0" w:firstLine="420"/>
      </w:pPr>
      <w:r>
        <w:t>联系人：林立，电话： 23115641。</w:t>
      </w:r>
    </w:p>
    <w:p>
      <w:pPr>
        <w:pStyle w:val="6"/>
        <w:keepNext w:val="0"/>
        <w:keepLines w:val="0"/>
        <w:widowControl/>
        <w:suppressLineNumbers w:val="0"/>
        <w:spacing w:before="450" w:beforeAutospacing="0" w:after="0" w:afterAutospacing="0"/>
        <w:ind w:left="0" w:right="0" w:firstLine="420"/>
      </w:pPr>
      <w:r>
        <w:t>附件：1. 上海市纳入2022年度碳排放配额管理单位名单</w:t>
      </w:r>
    </w:p>
    <w:p>
      <w:pPr>
        <w:pStyle w:val="6"/>
        <w:keepNext w:val="0"/>
        <w:keepLines w:val="0"/>
        <w:widowControl/>
        <w:suppressLineNumbers w:val="0"/>
        <w:spacing w:before="450" w:beforeAutospacing="0" w:after="0" w:afterAutospacing="0"/>
        <w:ind w:left="0" w:right="0" w:firstLine="420"/>
      </w:pPr>
      <w:r>
        <w:t>2. 上海市2022年碳排放配额分配方案</w:t>
      </w:r>
    </w:p>
    <w:p>
      <w:pPr>
        <w:pStyle w:val="6"/>
        <w:keepNext w:val="0"/>
        <w:keepLines w:val="0"/>
        <w:widowControl/>
        <w:suppressLineNumbers w:val="0"/>
        <w:spacing w:before="450" w:beforeAutospacing="0" w:after="0" w:afterAutospacing="0"/>
        <w:ind w:left="0" w:right="0" w:firstLine="420"/>
        <w:jc w:val="right"/>
      </w:pPr>
      <w:r>
        <w:t>上海市生态环境局</w:t>
      </w:r>
    </w:p>
    <w:p>
      <w:pPr>
        <w:pStyle w:val="6"/>
        <w:keepNext w:val="0"/>
        <w:keepLines w:val="0"/>
        <w:widowControl/>
        <w:suppressLineNumbers w:val="0"/>
        <w:spacing w:before="450" w:beforeAutospacing="0" w:after="0" w:afterAutospacing="0"/>
        <w:ind w:left="0" w:right="0" w:firstLine="420"/>
        <w:jc w:val="right"/>
      </w:pPr>
      <w:r>
        <w:t>2023年5月26日</w:t>
      </w:r>
    </w:p>
    <w:p>
      <w:pPr>
        <w:pStyle w:val="6"/>
        <w:keepNext w:val="0"/>
        <w:keepLines w:val="0"/>
        <w:widowControl/>
        <w:suppressLineNumbers w:val="0"/>
        <w:spacing w:before="450" w:beforeAutospacing="0" w:after="0" w:afterAutospacing="0"/>
        <w:ind w:right="0"/>
        <w:jc w:val="both"/>
      </w:pPr>
      <w:r>
        <w:rPr>
          <w:bdr w:val="none" w:color="auto" w:sz="0" w:space="0"/>
        </w:rPr>
        <w:drawing>
          <wp:inline distT="0" distB="0" distL="114300" distR="114300">
            <wp:extent cx="4959985" cy="8772525"/>
            <wp:effectExtent l="0" t="0" r="12065" b="9525"/>
            <wp:docPr id="1"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jpg"/>
                    <pic:cNvPicPr>
                      <a:picLocks noChangeAspect="1"/>
                    </pic:cNvPicPr>
                  </pic:nvPicPr>
                  <pic:blipFill>
                    <a:blip r:embed="rId4"/>
                    <a:stretch>
                      <a:fillRect/>
                    </a:stretch>
                  </pic:blipFill>
                  <pic:spPr>
                    <a:xfrm>
                      <a:off x="0" y="0"/>
                      <a:ext cx="4959985" cy="8772525"/>
                    </a:xfrm>
                    <a:prstGeom prst="rect">
                      <a:avLst/>
                    </a:prstGeom>
                    <a:noFill/>
                    <a:ln w="9525">
                      <a:noFill/>
                    </a:ln>
                  </pic:spPr>
                </pic:pic>
              </a:graphicData>
            </a:graphic>
          </wp:inline>
        </w:drawing>
      </w:r>
    </w:p>
    <w:p>
      <w:pPr>
        <w:pStyle w:val="6"/>
        <w:keepNext w:val="0"/>
        <w:keepLines w:val="0"/>
        <w:widowControl/>
        <w:suppressLineNumbers w:val="0"/>
        <w:spacing w:before="450" w:beforeAutospacing="0" w:after="0" w:afterAutospacing="0"/>
        <w:ind w:right="0"/>
        <w:jc w:val="both"/>
      </w:pPr>
      <w:r>
        <w:rPr>
          <w:bdr w:val="none" w:color="auto" w:sz="0" w:space="0"/>
        </w:rPr>
        <w:drawing>
          <wp:inline distT="0" distB="0" distL="114300" distR="114300">
            <wp:extent cx="5217795" cy="8544560"/>
            <wp:effectExtent l="0" t="0" r="1905" b="8890"/>
            <wp:docPr id="2"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jpg"/>
                    <pic:cNvPicPr>
                      <a:picLocks noChangeAspect="1"/>
                    </pic:cNvPicPr>
                  </pic:nvPicPr>
                  <pic:blipFill>
                    <a:blip r:embed="rId5"/>
                    <a:stretch>
                      <a:fillRect/>
                    </a:stretch>
                  </pic:blipFill>
                  <pic:spPr>
                    <a:xfrm>
                      <a:off x="0" y="0"/>
                      <a:ext cx="5217795" cy="8544560"/>
                    </a:xfrm>
                    <a:prstGeom prst="rect">
                      <a:avLst/>
                    </a:prstGeom>
                    <a:noFill/>
                    <a:ln w="9525">
                      <a:noFill/>
                    </a:ln>
                  </pic:spPr>
                </pic:pic>
              </a:graphicData>
            </a:graphic>
          </wp:inline>
        </w:drawing>
      </w:r>
    </w:p>
    <w:p>
      <w:pPr>
        <w:pStyle w:val="6"/>
        <w:keepNext w:val="0"/>
        <w:keepLines w:val="0"/>
        <w:widowControl/>
        <w:suppressLineNumbers w:val="0"/>
        <w:spacing w:before="450" w:beforeAutospacing="0" w:after="0" w:afterAutospacing="0"/>
        <w:ind w:right="0"/>
        <w:jc w:val="both"/>
      </w:pPr>
      <w:r>
        <w:rPr>
          <w:bdr w:val="none" w:color="auto" w:sz="0" w:space="0"/>
        </w:rPr>
        <w:drawing>
          <wp:inline distT="0" distB="0" distL="114300" distR="114300">
            <wp:extent cx="5803900" cy="9354185"/>
            <wp:effectExtent l="0" t="0" r="6350" b="18415"/>
            <wp:docPr id="3"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jpg"/>
                    <pic:cNvPicPr>
                      <a:picLocks noChangeAspect="1"/>
                    </pic:cNvPicPr>
                  </pic:nvPicPr>
                  <pic:blipFill>
                    <a:blip r:embed="rId6"/>
                    <a:stretch>
                      <a:fillRect/>
                    </a:stretch>
                  </pic:blipFill>
                  <pic:spPr>
                    <a:xfrm>
                      <a:off x="0" y="0"/>
                      <a:ext cx="5803900" cy="9354185"/>
                    </a:xfrm>
                    <a:prstGeom prst="rect">
                      <a:avLst/>
                    </a:prstGeom>
                    <a:noFill/>
                    <a:ln w="9525">
                      <a:noFill/>
                    </a:ln>
                  </pic:spPr>
                </pic:pic>
              </a:graphicData>
            </a:graphic>
          </wp:inline>
        </w:drawing>
      </w:r>
    </w:p>
    <w:p>
      <w:pPr>
        <w:pStyle w:val="6"/>
        <w:keepNext w:val="0"/>
        <w:keepLines w:val="0"/>
        <w:widowControl/>
        <w:suppressLineNumbers w:val="0"/>
        <w:spacing w:before="450" w:beforeAutospacing="0" w:after="0" w:afterAutospacing="0"/>
        <w:ind w:right="0"/>
        <w:jc w:val="both"/>
      </w:pPr>
      <w:r>
        <w:rPr>
          <w:bdr w:val="none" w:color="auto" w:sz="0" w:space="0"/>
        </w:rPr>
        <w:drawing>
          <wp:inline distT="0" distB="0" distL="114300" distR="114300">
            <wp:extent cx="5588635" cy="8943975"/>
            <wp:effectExtent l="0" t="0" r="12065" b="9525"/>
            <wp:docPr id="4" name="图片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jpg"/>
                    <pic:cNvPicPr>
                      <a:picLocks noChangeAspect="1"/>
                    </pic:cNvPicPr>
                  </pic:nvPicPr>
                  <pic:blipFill>
                    <a:blip r:embed="rId7"/>
                    <a:stretch>
                      <a:fillRect/>
                    </a:stretch>
                  </pic:blipFill>
                  <pic:spPr>
                    <a:xfrm>
                      <a:off x="0" y="0"/>
                      <a:ext cx="5588635" cy="8943975"/>
                    </a:xfrm>
                    <a:prstGeom prst="rect">
                      <a:avLst/>
                    </a:prstGeom>
                    <a:noFill/>
                    <a:ln w="9525">
                      <a:noFill/>
                    </a:ln>
                  </pic:spPr>
                </pic:pic>
              </a:graphicData>
            </a:graphic>
          </wp:inline>
        </w:drawing>
      </w:r>
    </w:p>
    <w:p>
      <w:pPr>
        <w:pStyle w:val="6"/>
        <w:keepNext w:val="0"/>
        <w:keepLines w:val="0"/>
        <w:widowControl/>
        <w:suppressLineNumbers w:val="0"/>
        <w:spacing w:before="450" w:beforeAutospacing="0" w:after="0" w:afterAutospacing="0"/>
        <w:ind w:right="0"/>
        <w:jc w:val="both"/>
      </w:pPr>
      <w:r>
        <w:rPr>
          <w:bdr w:val="none" w:color="auto" w:sz="0" w:space="0"/>
        </w:rPr>
        <w:drawing>
          <wp:inline distT="0" distB="0" distL="114300" distR="114300">
            <wp:extent cx="5767070" cy="9191625"/>
            <wp:effectExtent l="0" t="0" r="5080" b="9525"/>
            <wp:docPr id="10" name="图片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5.jpg"/>
                    <pic:cNvPicPr>
                      <a:picLocks noChangeAspect="1"/>
                    </pic:cNvPicPr>
                  </pic:nvPicPr>
                  <pic:blipFill>
                    <a:blip r:embed="rId8"/>
                    <a:stretch>
                      <a:fillRect/>
                    </a:stretch>
                  </pic:blipFill>
                  <pic:spPr>
                    <a:xfrm>
                      <a:off x="0" y="0"/>
                      <a:ext cx="5767070" cy="9191625"/>
                    </a:xfrm>
                    <a:prstGeom prst="rect">
                      <a:avLst/>
                    </a:prstGeom>
                    <a:noFill/>
                    <a:ln w="9525">
                      <a:noFill/>
                    </a:ln>
                  </pic:spPr>
                </pic:pic>
              </a:graphicData>
            </a:graphic>
          </wp:inline>
        </w:drawing>
      </w:r>
    </w:p>
    <w:p>
      <w:pPr>
        <w:pStyle w:val="6"/>
        <w:keepNext w:val="0"/>
        <w:keepLines w:val="0"/>
        <w:widowControl/>
        <w:suppressLineNumbers w:val="0"/>
        <w:spacing w:before="450" w:beforeAutospacing="0" w:after="0" w:afterAutospacing="0"/>
        <w:ind w:right="0"/>
        <w:jc w:val="both"/>
      </w:pPr>
      <w:r>
        <w:rPr>
          <w:bdr w:val="none" w:color="auto" w:sz="0" w:space="0"/>
        </w:rPr>
        <w:drawing>
          <wp:inline distT="0" distB="0" distL="114300" distR="114300">
            <wp:extent cx="5641340" cy="8964930"/>
            <wp:effectExtent l="0" t="0" r="16510" b="7620"/>
            <wp:docPr id="7" name="图片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6.jpg"/>
                    <pic:cNvPicPr>
                      <a:picLocks noChangeAspect="1"/>
                    </pic:cNvPicPr>
                  </pic:nvPicPr>
                  <pic:blipFill>
                    <a:blip r:embed="rId9"/>
                    <a:stretch>
                      <a:fillRect/>
                    </a:stretch>
                  </pic:blipFill>
                  <pic:spPr>
                    <a:xfrm>
                      <a:off x="0" y="0"/>
                      <a:ext cx="5641340" cy="8964930"/>
                    </a:xfrm>
                    <a:prstGeom prst="rect">
                      <a:avLst/>
                    </a:prstGeom>
                    <a:noFill/>
                    <a:ln w="9525">
                      <a:noFill/>
                    </a:ln>
                  </pic:spPr>
                </pic:pic>
              </a:graphicData>
            </a:graphic>
          </wp:inline>
        </w:drawing>
      </w:r>
    </w:p>
    <w:p>
      <w:pPr>
        <w:pStyle w:val="6"/>
        <w:keepNext w:val="0"/>
        <w:keepLines w:val="0"/>
        <w:widowControl/>
        <w:suppressLineNumbers w:val="0"/>
        <w:spacing w:before="450" w:beforeAutospacing="0" w:after="0" w:afterAutospacing="0"/>
        <w:ind w:right="0"/>
        <w:jc w:val="both"/>
      </w:pPr>
      <w:r>
        <w:rPr>
          <w:bdr w:val="none" w:color="auto" w:sz="0" w:space="0"/>
        </w:rPr>
        <w:drawing>
          <wp:inline distT="0" distB="0" distL="114300" distR="114300">
            <wp:extent cx="5530215" cy="8639175"/>
            <wp:effectExtent l="0" t="0" r="13335" b="9525"/>
            <wp:docPr id="5" name="图片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7.jpg"/>
                    <pic:cNvPicPr>
                      <a:picLocks noChangeAspect="1"/>
                    </pic:cNvPicPr>
                  </pic:nvPicPr>
                  <pic:blipFill>
                    <a:blip r:embed="rId10"/>
                    <a:stretch>
                      <a:fillRect/>
                    </a:stretch>
                  </pic:blipFill>
                  <pic:spPr>
                    <a:xfrm>
                      <a:off x="0" y="0"/>
                      <a:ext cx="5530215" cy="8639175"/>
                    </a:xfrm>
                    <a:prstGeom prst="rect">
                      <a:avLst/>
                    </a:prstGeom>
                    <a:noFill/>
                    <a:ln w="9525">
                      <a:noFill/>
                    </a:ln>
                  </pic:spPr>
                </pic:pic>
              </a:graphicData>
            </a:graphic>
          </wp:inline>
        </w:drawing>
      </w:r>
    </w:p>
    <w:p>
      <w:pPr>
        <w:pStyle w:val="6"/>
        <w:keepNext w:val="0"/>
        <w:keepLines w:val="0"/>
        <w:widowControl/>
        <w:suppressLineNumbers w:val="0"/>
        <w:spacing w:before="450" w:beforeAutospacing="0" w:after="0" w:afterAutospacing="0"/>
        <w:ind w:right="0"/>
        <w:jc w:val="both"/>
      </w:pPr>
      <w:r>
        <w:rPr>
          <w:bdr w:val="none" w:color="auto" w:sz="0" w:space="0"/>
        </w:rPr>
        <w:drawing>
          <wp:inline distT="0" distB="0" distL="114300" distR="114300">
            <wp:extent cx="5384165" cy="5610225"/>
            <wp:effectExtent l="0" t="0" r="6985" b="9525"/>
            <wp:docPr id="9" name="图片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jpg"/>
                    <pic:cNvPicPr>
                      <a:picLocks noChangeAspect="1"/>
                    </pic:cNvPicPr>
                  </pic:nvPicPr>
                  <pic:blipFill>
                    <a:blip r:embed="rId11"/>
                    <a:stretch>
                      <a:fillRect/>
                    </a:stretch>
                  </pic:blipFill>
                  <pic:spPr>
                    <a:xfrm>
                      <a:off x="0" y="0"/>
                      <a:ext cx="5384165" cy="5610225"/>
                    </a:xfrm>
                    <a:prstGeom prst="rect">
                      <a:avLst/>
                    </a:prstGeom>
                    <a:noFill/>
                    <a:ln w="9525">
                      <a:noFill/>
                    </a:ln>
                  </pic:spPr>
                </pic:pic>
              </a:graphicData>
            </a:graphic>
          </wp:inline>
        </w:drawing>
      </w:r>
    </w:p>
    <w:p>
      <w:pPr>
        <w:pStyle w:val="6"/>
        <w:keepNext w:val="0"/>
        <w:keepLines w:val="0"/>
        <w:widowControl/>
        <w:suppressLineNumbers w:val="0"/>
        <w:spacing w:before="450" w:beforeAutospacing="0" w:after="0" w:afterAutospacing="0"/>
        <w:ind w:left="0" w:right="0" w:firstLine="420"/>
      </w:pPr>
      <w:r>
        <w:t>附件2</w:t>
      </w:r>
    </w:p>
    <w:p>
      <w:pPr>
        <w:pStyle w:val="6"/>
        <w:keepNext w:val="0"/>
        <w:keepLines w:val="0"/>
        <w:widowControl/>
        <w:suppressLineNumbers w:val="0"/>
        <w:spacing w:before="450" w:beforeAutospacing="0" w:after="0" w:afterAutospacing="0"/>
        <w:ind w:left="0" w:right="0" w:firstLine="420"/>
        <w:jc w:val="center"/>
        <w:rPr>
          <w:sz w:val="28"/>
          <w:szCs w:val="28"/>
        </w:rPr>
      </w:pPr>
      <w:r>
        <w:rPr>
          <w:rStyle w:val="9"/>
          <w:b/>
          <w:bCs/>
          <w:sz w:val="28"/>
          <w:szCs w:val="28"/>
        </w:rPr>
        <w:t>上海市2022年碳排放配额分配方案</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根据《上海市碳排放管理试行办法》（沪府令10号）有关规定，为科学合理确定2022年本市纳入碳排放配额管理单位（以下简称纳管企业，详见《上海市纳入2022年度碳排放配额管理单位名单》）碳排放配额，规范有序开展配额分配和管理，特制定本方案。</w:t>
      </w:r>
    </w:p>
    <w:p>
      <w:pPr>
        <w:pStyle w:val="6"/>
        <w:keepNext w:val="0"/>
        <w:keepLines w:val="0"/>
        <w:widowControl/>
        <w:suppressLineNumbers w:val="0"/>
        <w:spacing w:before="450" w:beforeAutospacing="0" w:after="0" w:afterAutospacing="0"/>
        <w:ind w:left="0" w:right="0" w:firstLine="420"/>
      </w:pPr>
      <w:r>
        <w:t>一、配额总量</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根据本市碳排放控制目标和要求，在坚持实行碳排放配额总量控制、促进用能效率提升和能源结构优化、平稳衔接全国碳交易市场的原则下，按照纳管企业碳排放控制严于全市总体要求，确定本市2022年度碳排放交易体系配额总量为1亿吨（含直接发放配额和储备配额）。</w:t>
      </w:r>
    </w:p>
    <w:p>
      <w:pPr>
        <w:pStyle w:val="6"/>
        <w:keepNext w:val="0"/>
        <w:keepLines w:val="0"/>
        <w:widowControl/>
        <w:suppressLineNumbers w:val="0"/>
        <w:spacing w:before="450" w:beforeAutospacing="0" w:after="0" w:afterAutospacing="0"/>
        <w:ind w:left="0" w:right="0" w:firstLine="420"/>
      </w:pPr>
      <w:r>
        <w:t>二、分配方法</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本市采取行业基准线法、历史强度法和历史排放法确定纳管企业2022年度基础配额。在具备条件的情况下，优先采用行业基准线法和历史强度法等基于排放效率的分配方法。</w:t>
      </w:r>
    </w:p>
    <w:p>
      <w:pPr>
        <w:pStyle w:val="6"/>
        <w:keepNext w:val="0"/>
        <w:keepLines w:val="0"/>
        <w:widowControl/>
        <w:suppressLineNumbers w:val="0"/>
        <w:spacing w:before="450" w:beforeAutospacing="0" w:after="0" w:afterAutospacing="0"/>
        <w:ind w:left="0" w:right="0" w:firstLine="420"/>
      </w:pPr>
      <w:r>
        <w:t>（一）行业基准线法</w:t>
      </w:r>
    </w:p>
    <w:p>
      <w:pPr>
        <w:pStyle w:val="6"/>
        <w:keepNext w:val="0"/>
        <w:keepLines w:val="0"/>
        <w:widowControl/>
        <w:suppressLineNumbers w:val="0"/>
        <w:spacing w:before="450" w:beforeAutospacing="0" w:after="0" w:afterAutospacing="0"/>
        <w:ind w:left="0" w:right="0" w:firstLine="420"/>
      </w:pPr>
      <w:r>
        <w:t>对本市发电、电网和供热等电力热力行业及数据中心企业，采用行业基准线法。</w:t>
      </w:r>
    </w:p>
    <w:p>
      <w:pPr>
        <w:pStyle w:val="6"/>
        <w:keepNext w:val="0"/>
        <w:keepLines w:val="0"/>
        <w:widowControl/>
        <w:suppressLineNumbers w:val="0"/>
        <w:spacing w:before="450" w:beforeAutospacing="0" w:after="0" w:afterAutospacing="0"/>
        <w:ind w:left="0" w:right="0" w:firstLine="420"/>
      </w:pPr>
      <w:r>
        <w:t>1.发电企业（纯发电及热电比小于100%）</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根据不同类型发电机组单位综合供电量碳排放基准、年度综合供电量，确定企业年度基础配额。计算公式为：</w:t>
      </w:r>
    </w:p>
    <w:p>
      <w:pPr>
        <w:pStyle w:val="6"/>
        <w:keepNext w:val="0"/>
        <w:keepLines w:val="0"/>
        <w:widowControl/>
        <w:suppressLineNumbers w:val="0"/>
        <w:spacing w:before="450" w:beforeAutospacing="0" w:after="0" w:afterAutospacing="0"/>
        <w:ind w:left="0" w:right="0" w:firstLine="420"/>
      </w:pPr>
      <w:r>
        <w:t>企业年度基础配额=单位综合供电量碳排放基准×年度综合供电量</w:t>
      </w:r>
    </w:p>
    <w:p>
      <w:pPr>
        <w:pStyle w:val="6"/>
        <w:keepNext w:val="0"/>
        <w:keepLines w:val="0"/>
        <w:widowControl/>
        <w:suppressLineNumbers w:val="0"/>
        <w:spacing w:before="450" w:beforeAutospacing="0" w:after="0" w:afterAutospacing="0"/>
        <w:ind w:left="0" w:right="0" w:firstLine="420"/>
      </w:pPr>
      <w:r>
        <w:t>2.电网企业</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根据单位供电量线损率基准、年度供电量以及本市电力排放因子，确定企业年度基础配额。计算公式为：</w:t>
      </w:r>
    </w:p>
    <w:p>
      <w:pPr>
        <w:pStyle w:val="6"/>
        <w:keepNext w:val="0"/>
        <w:keepLines w:val="0"/>
        <w:widowControl/>
        <w:suppressLineNumbers w:val="0"/>
        <w:spacing w:before="450" w:beforeAutospacing="0" w:after="0" w:afterAutospacing="0"/>
        <w:ind w:left="0" w:right="0" w:firstLine="420"/>
      </w:pPr>
      <w:r>
        <w:t>企业年度基础配额=单位供电量线损率基准×年度供电量×本市电力排放因子</w:t>
      </w:r>
    </w:p>
    <w:p>
      <w:pPr>
        <w:pStyle w:val="6"/>
        <w:keepNext w:val="0"/>
        <w:keepLines w:val="0"/>
        <w:widowControl/>
        <w:suppressLineNumbers w:val="0"/>
        <w:spacing w:before="450" w:beforeAutospacing="0" w:after="0" w:afterAutospacing="0"/>
        <w:ind w:left="0" w:right="0" w:firstLine="420"/>
      </w:pPr>
      <w:r>
        <w:t>3.供热企业（纯供热及热电比大于100%（含））</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根据不同类型供热设备单位综合供热量碳排放基准和年度综合供热量，确定企业年度基础配额。计算公式为：</w:t>
      </w:r>
    </w:p>
    <w:p>
      <w:pPr>
        <w:pStyle w:val="6"/>
        <w:keepNext w:val="0"/>
        <w:keepLines w:val="0"/>
        <w:widowControl/>
        <w:suppressLineNumbers w:val="0"/>
        <w:spacing w:before="450" w:beforeAutospacing="0" w:after="0" w:afterAutospacing="0"/>
        <w:ind w:left="0" w:right="0" w:firstLine="420"/>
      </w:pPr>
      <w:r>
        <w:t>企业年度基础配额=单位综合供热量碳排放基准×年度综合供热量</w:t>
      </w:r>
    </w:p>
    <w:p>
      <w:pPr>
        <w:pStyle w:val="6"/>
        <w:keepNext w:val="0"/>
        <w:keepLines w:val="0"/>
        <w:widowControl/>
        <w:suppressLineNumbers w:val="0"/>
        <w:spacing w:before="450" w:beforeAutospacing="0" w:after="0" w:afterAutospacing="0"/>
        <w:ind w:left="0" w:right="0" w:firstLine="420"/>
      </w:pPr>
      <w:r>
        <w:t>4.数据中心企业</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根据单位IT设备耗电量碳排放基准和年度IT设备耗电量，确定企业年度基础配额。计算公式为：</w:t>
      </w:r>
    </w:p>
    <w:p>
      <w:pPr>
        <w:pStyle w:val="6"/>
        <w:keepNext w:val="0"/>
        <w:keepLines w:val="0"/>
        <w:widowControl/>
        <w:suppressLineNumbers w:val="0"/>
        <w:spacing w:before="450" w:beforeAutospacing="0" w:after="0" w:afterAutospacing="0"/>
        <w:ind w:left="0" w:right="0" w:firstLine="420"/>
      </w:pPr>
      <w:r>
        <w:t>企业年度基础配额=单位IT设备耗电量碳排放基准×年度IT设备耗电量</w:t>
      </w:r>
    </w:p>
    <w:p>
      <w:pPr>
        <w:pStyle w:val="6"/>
        <w:keepNext w:val="0"/>
        <w:keepLines w:val="0"/>
        <w:widowControl/>
        <w:suppressLineNumbers w:val="0"/>
        <w:spacing w:before="450" w:beforeAutospacing="0" w:after="0" w:afterAutospacing="0"/>
        <w:ind w:left="0" w:right="0" w:firstLine="420"/>
      </w:pPr>
      <w:r>
        <w:t>发电、电网、供热及数据中心企业各参数选取方法详见附件1。</w:t>
      </w:r>
    </w:p>
    <w:p>
      <w:pPr>
        <w:pStyle w:val="6"/>
        <w:keepNext w:val="0"/>
        <w:keepLines w:val="0"/>
        <w:widowControl/>
        <w:suppressLineNumbers w:val="0"/>
        <w:spacing w:before="450" w:beforeAutospacing="0" w:after="0" w:afterAutospacing="0"/>
        <w:ind w:left="0" w:right="0" w:firstLine="420"/>
      </w:pPr>
      <w:r>
        <w:t>（二）历史强度法</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对主要产品可以归为3类（及以下）、产品产量与碳排放量相关性高且计量完善的工业企业，航空、港口、水运、自来水生产行业企业，采用历史强度法。</w:t>
      </w:r>
    </w:p>
    <w:p>
      <w:pPr>
        <w:pStyle w:val="6"/>
        <w:keepNext w:val="0"/>
        <w:keepLines w:val="0"/>
        <w:widowControl/>
        <w:suppressLineNumbers w:val="0"/>
        <w:spacing w:before="450" w:beforeAutospacing="0" w:after="0" w:afterAutospacing="0"/>
        <w:ind w:left="0" w:right="0" w:firstLine="420"/>
      </w:pPr>
      <w:r>
        <w:t>1.工业企业</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根据企业各类产品的历史碳排放强度基数和年度产品产量，确定企业年度基础配额。计算公式为：</w:t>
      </w:r>
    </w:p>
    <w:p>
      <w:pPr>
        <w:pStyle w:val="6"/>
        <w:keepNext w:val="0"/>
        <w:keepLines w:val="0"/>
        <w:widowControl/>
        <w:suppressLineNumbers w:val="0"/>
        <w:spacing w:before="450" w:beforeAutospacing="0" w:after="0" w:afterAutospacing="0"/>
        <w:ind w:left="0" w:right="0" w:firstLine="420"/>
      </w:pPr>
      <w:r>
        <w:t>企业年度基础配额=∑（历史强度基数n×年度产品产量n）</w:t>
      </w:r>
    </w:p>
    <w:p>
      <w:pPr>
        <w:pStyle w:val="6"/>
        <w:keepNext w:val="0"/>
        <w:keepLines w:val="0"/>
        <w:widowControl/>
        <w:suppressLineNumbers w:val="0"/>
        <w:spacing w:before="450" w:beforeAutospacing="0" w:after="0" w:afterAutospacing="0"/>
        <w:ind w:left="0" w:right="0" w:firstLine="420"/>
      </w:pPr>
      <w:r>
        <w:t>n为产品类别。</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历史强度基数，一般取企业各类产品2019年至2021年碳排放强度（单位产量碳排放）的加权平均值。当三年内碳排放强度持续上升或持续下降，且累计变化超过30%，取2021年碳排放强度数据。不满足上述条件，但年度间碳排放强度变化超过20%，取其变化后各年度碳排放强度的加权平均值。</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年度产品产量，为经第三方核查机构核查且经有关部门审定确认的企业2022年度各产品产量。</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满足一定条件下，企业年度基础配额可根据原材料投入的历史碳排放强度基数和年度原材料投入量来确定。</w:t>
      </w:r>
    </w:p>
    <w:p>
      <w:pPr>
        <w:pStyle w:val="6"/>
        <w:keepNext w:val="0"/>
        <w:keepLines w:val="0"/>
        <w:widowControl/>
        <w:suppressLineNumbers w:val="0"/>
        <w:spacing w:before="450" w:beforeAutospacing="0" w:after="0" w:afterAutospacing="0"/>
        <w:ind w:left="0" w:right="0" w:firstLine="420"/>
      </w:pPr>
      <w:r>
        <w:t>2.航空港口及水运企业</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根据企业历史碳排放强度基数和年度业务量，确定企业年度基础配额。计算公式为：</w:t>
      </w:r>
    </w:p>
    <w:p>
      <w:pPr>
        <w:pStyle w:val="6"/>
        <w:keepNext w:val="0"/>
        <w:keepLines w:val="0"/>
        <w:widowControl/>
        <w:suppressLineNumbers w:val="0"/>
        <w:spacing w:before="450" w:beforeAutospacing="0" w:after="0" w:afterAutospacing="0"/>
        <w:ind w:left="0" w:right="0" w:firstLine="420"/>
      </w:pPr>
      <w:r>
        <w:t>企业年度基础配额=历史强度基数×年度业务量</w:t>
      </w:r>
    </w:p>
    <w:p>
      <w:pPr>
        <w:pStyle w:val="6"/>
        <w:keepNext w:val="0"/>
        <w:keepLines w:val="0"/>
        <w:widowControl/>
        <w:suppressLineNumbers w:val="0"/>
        <w:spacing w:before="450" w:beforeAutospacing="0" w:after="0" w:afterAutospacing="0"/>
        <w:ind w:left="0" w:right="0" w:firstLine="420"/>
      </w:pPr>
      <w:r>
        <w:t>历史强度基数，取企业2019年至2021年单位业务量碳排放的加权平均值。</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年度业务量，为经第三方核查机构核查且经有关部门审定确认的企业2022年度业务量数据。</w:t>
      </w:r>
    </w:p>
    <w:p>
      <w:pPr>
        <w:pStyle w:val="6"/>
        <w:keepNext w:val="0"/>
        <w:keepLines w:val="0"/>
        <w:widowControl/>
        <w:suppressLineNumbers w:val="0"/>
        <w:spacing w:before="450" w:beforeAutospacing="0" w:after="0" w:afterAutospacing="0"/>
        <w:ind w:left="0" w:right="0" w:firstLine="420"/>
      </w:pPr>
      <w:r>
        <w:t>3.自来水生产企业</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根据企业历史碳排放强度基数和年度供水量，确定企业年度基础配额。计算公式为：</w:t>
      </w:r>
    </w:p>
    <w:p>
      <w:pPr>
        <w:pStyle w:val="6"/>
        <w:keepNext w:val="0"/>
        <w:keepLines w:val="0"/>
        <w:widowControl/>
        <w:suppressLineNumbers w:val="0"/>
        <w:spacing w:before="450" w:beforeAutospacing="0" w:after="0" w:afterAutospacing="0"/>
        <w:ind w:left="0" w:right="0" w:firstLine="420"/>
      </w:pPr>
      <w:r>
        <w:t>企业年度基础配额=历史强度基数×年度供水量</w:t>
      </w:r>
    </w:p>
    <w:p>
      <w:pPr>
        <w:pStyle w:val="6"/>
        <w:keepNext w:val="0"/>
        <w:keepLines w:val="0"/>
        <w:widowControl/>
        <w:suppressLineNumbers w:val="0"/>
        <w:spacing w:before="450" w:beforeAutospacing="0" w:after="0" w:afterAutospacing="0"/>
        <w:ind w:left="0" w:right="0" w:firstLine="420"/>
      </w:pPr>
      <w:r>
        <w:t>历史强度基数，取企业2021年单位供水量碳排放数据。</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年度供水量，为经第三方核查机构核查且经有关部门审定确认的企业2022年度供水量数据。</w:t>
      </w:r>
    </w:p>
    <w:p>
      <w:pPr>
        <w:pStyle w:val="6"/>
        <w:keepNext w:val="0"/>
        <w:keepLines w:val="0"/>
        <w:widowControl/>
        <w:suppressLineNumbers w:val="0"/>
        <w:spacing w:before="450" w:beforeAutospacing="0" w:after="0" w:afterAutospacing="0"/>
        <w:ind w:left="0" w:right="0" w:firstLine="420"/>
      </w:pPr>
      <w:r>
        <w:t>（三）历史排放法</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对商场、宾馆、商务办公、机场等建筑，以及产品复杂、近几年边界变化大、难以采用行业基准线法或历史强度法的工业企业，采用历史排放法。计算公式为：</w:t>
      </w:r>
    </w:p>
    <w:p>
      <w:pPr>
        <w:pStyle w:val="6"/>
        <w:keepNext w:val="0"/>
        <w:keepLines w:val="0"/>
        <w:widowControl/>
        <w:suppressLineNumbers w:val="0"/>
        <w:spacing w:before="450" w:beforeAutospacing="0" w:after="0" w:afterAutospacing="0"/>
        <w:ind w:left="0" w:right="0" w:firstLine="420"/>
      </w:pPr>
      <w:r>
        <w:t>企业年度基础配额=历史排放基数</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历史排放基数，一般取企业2019年至2021年碳排放量的平均值。当三年内企业碳排放量持续上升或持续下降，2021年碳排放量在100万吨及以上且累计变化超过30%、2021年碳排放量在100万吨以下且累计变化超过40%，取2021年碳排放量数据。不满足上述条件，但年度间碳排放量变化超过20%，取其变化后各年度碳排放量的平均值。</w:t>
      </w:r>
    </w:p>
    <w:p>
      <w:pPr>
        <w:pStyle w:val="6"/>
        <w:keepNext w:val="0"/>
        <w:keepLines w:val="0"/>
        <w:widowControl/>
        <w:suppressLineNumbers w:val="0"/>
        <w:spacing w:before="450" w:beforeAutospacing="0" w:after="0" w:afterAutospacing="0"/>
        <w:ind w:left="0" w:right="0" w:firstLine="420"/>
      </w:pPr>
      <w:r>
        <w:t>三、配额发放</w:t>
      </w:r>
    </w:p>
    <w:p>
      <w:pPr>
        <w:pStyle w:val="6"/>
        <w:keepNext w:val="0"/>
        <w:keepLines w:val="0"/>
        <w:widowControl/>
        <w:suppressLineNumbers w:val="0"/>
        <w:spacing w:before="450" w:beforeAutospacing="0" w:after="0" w:afterAutospacing="0"/>
        <w:ind w:left="0" w:right="0" w:firstLine="420"/>
      </w:pPr>
      <w:r>
        <w:t>（一）直接发放配额</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市生态环境局依照上述方法，根据企业2021年因含碳能源（天然气除外）消耗导致的直接排放占其总排放量的比例，确定其2022年度的碳排放直接发放配额数量（具体计算方法见附件2），通过本市配额登记注册系统免费向纳管企业发放。</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对于采用历史排放法分配配额的纳管企业，2022年度直接发放配额一次性免费发放至其配额账户。对于采用行业基准线法或历史强度法分配配额的纳管企业，先按照2021年产量、业务量等生产经营数据的80%确定2022年度直接发放的预配额并免费发放，待年度清缴期前，根据其2022年度实际经营数据对配额进行调整，对预配额和调整后配额的差额部分予以收回或补足。企业产品产量、业务量等生产经营数据的确定口径和方式，以各企业《配额信息表》为准。</w:t>
      </w:r>
    </w:p>
    <w:p>
      <w:pPr>
        <w:pStyle w:val="6"/>
        <w:keepNext w:val="0"/>
        <w:keepLines w:val="0"/>
        <w:widowControl/>
        <w:suppressLineNumbers w:val="0"/>
        <w:spacing w:before="450" w:beforeAutospacing="0" w:after="0" w:afterAutospacing="0"/>
        <w:ind w:left="0" w:right="0" w:firstLine="420"/>
      </w:pPr>
      <w:r>
        <w:t>（二）有偿发放配额</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2022年度有偿发放配额采用不定期竞价发放的形式。市生态环境局将根据碳市场运行情况，对2022年度配额总量中的部分储备配额组织开展有偿竞买，具体事宜另行通知。</w:t>
      </w:r>
    </w:p>
    <w:p>
      <w:pPr>
        <w:pStyle w:val="6"/>
        <w:keepNext w:val="0"/>
        <w:keepLines w:val="0"/>
        <w:widowControl/>
        <w:suppressLineNumbers w:val="0"/>
        <w:spacing w:before="450" w:beforeAutospacing="0" w:after="0" w:afterAutospacing="0"/>
        <w:ind w:left="0" w:right="0" w:firstLine="420"/>
      </w:pPr>
      <w:r>
        <w:t>四、配额清缴与抵销机制</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纳管企业应通过配额登记注册系统提交与其经市生态环境局审定的2022年度碳排放量相当的配额，履行清缴义务。配额不足的，应通过本市碳交易平台购买补足；配额有结余的，可以在后续年度使用，也可以用于配额交易。</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纳管企业可使用符合要求的国家核证自愿减排量（下称“CCER”）或上海市碳普惠减排量（下称“SHCER”）进行配额清缴，每吨CCER或SHCER相当于1吨碳排放配额。CCER所属的自愿减排项目应是非水电类项目，且其所有核证减排量均应产生于2013年1月1日后。CCER和SHCER使用的总比例不得超过企业经市生态环境局审定的2022年度碳排放量的5%。</w:t>
      </w:r>
    </w:p>
    <w:p>
      <w:pPr>
        <w:pStyle w:val="6"/>
        <w:keepNext w:val="0"/>
        <w:keepLines w:val="0"/>
        <w:widowControl/>
        <w:suppressLineNumbers w:val="0"/>
        <w:spacing w:before="450" w:beforeAutospacing="0" w:after="0" w:afterAutospacing="0"/>
        <w:ind w:left="0" w:right="0" w:firstLine="420"/>
      </w:pPr>
      <w:r>
        <w:t>五、有关情况处理</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纳入年度配额履约管理的单位，应及时开通上海市碳排放配额账户和上海市碳排放交易账户。</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纳管企业于本方案公布前已解散、关停或迁出本市的，市生态环境局不再对其进行碳排放配额管理。</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both"/>
        <w:textAlignment w:val="auto"/>
      </w:pPr>
      <w:r>
        <w:t>纳管企业生产经营发生重大变化、核算边界无法确定的，市生态环境局暂不对其发放2022年度配额，对于已发放2022年度配额的，予以收回。上述企业必须按规定报送碳排放报告、监测计划等，待核算边界和排放状况稳定后再对其开展配额分配。</w:t>
      </w:r>
    </w:p>
    <w:p>
      <w:pPr>
        <w:pStyle w:val="6"/>
        <w:keepNext w:val="0"/>
        <w:keepLines w:val="0"/>
        <w:widowControl/>
        <w:suppressLineNumbers w:val="0"/>
        <w:spacing w:before="450" w:beforeAutospacing="0" w:after="0" w:afterAutospacing="0"/>
        <w:ind w:left="0" w:right="0" w:firstLine="420"/>
      </w:pPr>
      <w:r>
        <w:t>附件：1. 电力热力、数据中心企业碳排放基准及相关参数</w:t>
      </w:r>
    </w:p>
    <w:p>
      <w:pPr>
        <w:pStyle w:val="6"/>
        <w:keepNext w:val="0"/>
        <w:keepLines w:val="0"/>
        <w:widowControl/>
        <w:suppressLineNumbers w:val="0"/>
        <w:spacing w:before="450" w:beforeAutospacing="0" w:after="0" w:afterAutospacing="0"/>
        <w:ind w:left="0" w:right="0" w:firstLine="420"/>
      </w:pPr>
      <w:r>
        <w:t>2.直接发放配额相关参数</w:t>
      </w:r>
    </w:p>
    <w:p>
      <w:pPr>
        <w:pStyle w:val="6"/>
        <w:keepNext w:val="0"/>
        <w:keepLines w:val="0"/>
        <w:widowControl/>
        <w:suppressLineNumbers w:val="0"/>
        <w:spacing w:before="450" w:beforeAutospacing="0" w:after="0" w:afterAutospacing="0"/>
        <w:ind w:right="0"/>
        <w:jc w:val="center"/>
      </w:pPr>
      <w:r>
        <w:rPr>
          <w:bdr w:val="none" w:color="auto" w:sz="0" w:space="0"/>
        </w:rPr>
        <w:drawing>
          <wp:inline distT="0" distB="0" distL="114300" distR="114300">
            <wp:extent cx="4736465" cy="8231505"/>
            <wp:effectExtent l="0" t="0" r="6985" b="17145"/>
            <wp:docPr id="8" name="图片 9" descr="2023-06-01_08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2023-06-01_083517.jpg"/>
                    <pic:cNvPicPr>
                      <a:picLocks noChangeAspect="1"/>
                    </pic:cNvPicPr>
                  </pic:nvPicPr>
                  <pic:blipFill>
                    <a:blip r:embed="rId12"/>
                    <a:stretch>
                      <a:fillRect/>
                    </a:stretch>
                  </pic:blipFill>
                  <pic:spPr>
                    <a:xfrm>
                      <a:off x="0" y="0"/>
                      <a:ext cx="4736465" cy="8231505"/>
                    </a:xfrm>
                    <a:prstGeom prst="rect">
                      <a:avLst/>
                    </a:prstGeom>
                    <a:noFill/>
                    <a:ln w="9525">
                      <a:noFill/>
                    </a:ln>
                  </pic:spPr>
                </pic:pic>
              </a:graphicData>
            </a:graphic>
          </wp:inline>
        </w:drawing>
      </w:r>
    </w:p>
    <w:p>
      <w:pPr>
        <w:pStyle w:val="6"/>
        <w:keepNext w:val="0"/>
        <w:keepLines w:val="0"/>
        <w:widowControl/>
        <w:suppressLineNumbers w:val="0"/>
        <w:spacing w:before="450" w:beforeAutospacing="0" w:after="0" w:afterAutospacing="0"/>
        <w:ind w:right="0"/>
        <w:jc w:val="both"/>
      </w:pPr>
      <w:r>
        <w:rPr>
          <w:bdr w:val="none" w:color="auto" w:sz="0" w:space="0"/>
        </w:rPr>
        <w:drawing>
          <wp:inline distT="0" distB="0" distL="114300" distR="114300">
            <wp:extent cx="5448935" cy="4623435"/>
            <wp:effectExtent l="0" t="0" r="18415" b="5715"/>
            <wp:docPr id="6" name="图片 10" descr="2023-06-01_08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2023-06-01_083542.jpg"/>
                    <pic:cNvPicPr>
                      <a:picLocks noChangeAspect="1"/>
                    </pic:cNvPicPr>
                  </pic:nvPicPr>
                  <pic:blipFill>
                    <a:blip r:embed="rId13"/>
                    <a:stretch>
                      <a:fillRect/>
                    </a:stretch>
                  </pic:blipFill>
                  <pic:spPr>
                    <a:xfrm>
                      <a:off x="0" y="0"/>
                      <a:ext cx="5448935" cy="462343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6898B0"/>
    <w:multiLevelType w:val="multilevel"/>
    <w:tmpl w:val="916898B0"/>
    <w:lvl w:ilvl="0" w:tentative="0">
      <w:start w:val="1"/>
      <w:numFmt w:val="chineseCounting"/>
      <w:pStyle w:val="2"/>
      <w:suff w:val="space"/>
      <w:lvlText w:val="%1."/>
      <w:lvlJc w:val="left"/>
      <w:pPr>
        <w:tabs>
          <w:tab w:val="left" w:pos="420"/>
        </w:tabs>
        <w:ind w:left="0" w:leftChars="0" w:firstLine="0" w:firstLineChars="0"/>
      </w:pPr>
      <w:rPr>
        <w:rFonts w:hint="eastAsia" w:ascii="Times New Roman" w:hAnsi="Times New Roman" w:eastAsia="宋体" w:cs="Times New Roman"/>
        <w:sz w:val="24"/>
        <w:szCs w:val="24"/>
      </w:rPr>
    </w:lvl>
    <w:lvl w:ilvl="1" w:tentative="0">
      <w:start w:val="1"/>
      <w:numFmt w:val="decimal"/>
      <w:pStyle w:val="3"/>
      <w:suff w:val="space"/>
      <w:lvlText w:val="%2."/>
      <w:lvlJc w:val="left"/>
      <w:pPr>
        <w:tabs>
          <w:tab w:val="left" w:pos="420"/>
        </w:tabs>
        <w:ind w:left="0" w:leftChars="0" w:firstLine="0" w:firstLineChars="0"/>
      </w:pPr>
      <w:rPr>
        <w:rFonts w:hint="eastAsia" w:ascii="宋体" w:hAnsi="宋体" w:eastAsia="宋体" w:cs="宋体"/>
      </w:rPr>
    </w:lvl>
    <w:lvl w:ilvl="2" w:tentative="0">
      <w:start w:val="1"/>
      <w:numFmt w:val="decimal"/>
      <w:pStyle w:val="4"/>
      <w:suff w:val="space"/>
      <w:lvlText w:val="%2.%3."/>
      <w:lvlJc w:val="left"/>
      <w:pPr>
        <w:tabs>
          <w:tab w:val="left" w:pos="420"/>
        </w:tabs>
        <w:ind w:left="0" w:leftChars="0" w:firstLine="0" w:firstLineChars="0"/>
      </w:pPr>
      <w:rPr>
        <w:rFonts w:hint="eastAsia" w:ascii="宋体" w:hAnsi="宋体" w:eastAsia="宋体" w:cs="宋体"/>
      </w:rPr>
    </w:lvl>
    <w:lvl w:ilvl="3" w:tentative="0">
      <w:start w:val="1"/>
      <w:numFmt w:val="decimal"/>
      <w:pStyle w:val="5"/>
      <w:suff w:val="space"/>
      <w:lvlText w:val="%2.%3.%4."/>
      <w:lvlJc w:val="left"/>
      <w:pPr>
        <w:tabs>
          <w:tab w:val="left" w:pos="420"/>
        </w:tabs>
        <w:ind w:left="0" w:leftChars="0" w:firstLine="0" w:firstLineChars="0"/>
      </w:pPr>
      <w:rPr>
        <w:rFonts w:hint="eastAsia" w:ascii="宋体" w:hAnsi="宋体" w:eastAsia="宋体" w:cs="宋体"/>
      </w:rPr>
    </w:lvl>
    <w:lvl w:ilvl="4" w:tentative="0">
      <w:start w:val="1"/>
      <w:numFmt w:val="decimal"/>
      <w:lvlText w:val="%1.%2.%3.%4.%5."/>
      <w:lvlJc w:val="left"/>
      <w:pPr>
        <w:ind w:left="991" w:hanging="991"/>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yZTMwYzM5ZGY3MDViNWJhOTc5ZjQ5NDNkYTJjZWEifQ=="/>
  </w:docVars>
  <w:rsids>
    <w:rsidRoot w:val="00000000"/>
    <w:rsid w:val="39965122"/>
    <w:rsid w:val="631A52DC"/>
    <w:rsid w:val="7D484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360" w:lineRule="auto"/>
      <w:ind w:firstLine="0" w:firstLineChars="0"/>
      <w:jc w:val="left"/>
      <w:outlineLvl w:val="0"/>
    </w:pPr>
    <w:rPr>
      <w:rFonts w:ascii="Times New Roman" w:hAnsi="Times New Roman" w:eastAsia="宋体" w:cs="Times New Roman"/>
      <w:b/>
      <w:kern w:val="44"/>
      <w:sz w:val="24"/>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2862</Words>
  <Characters>3064</Characters>
  <Lines>0</Lines>
  <Paragraphs>0</Paragraphs>
  <TotalTime>6</TotalTime>
  <ScaleCrop>false</ScaleCrop>
  <LinksUpToDate>false</LinksUpToDate>
  <CharactersWithSpaces>3068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2021-08-13T02:31:00Z</dcterms:created>
  <dc:creator>17861</dc:creator>
  <cp:lastModifiedBy>.</cp:lastModifiedBy>
  <dcterms:modified xsi:type="dcterms:W3CDTF">2023-06-06T08:14:40Z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9EC22501065E46958E39AA4E97D29CF5</vt:lpwstr>
  </property>
</Properties>
</file>